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FF5EC" w14:textId="77777777" w:rsidR="2202FA05" w:rsidRDefault="2202FA05" w:rsidP="1A96B757">
      <w:pPr>
        <w:pStyle w:val="Heading1"/>
      </w:pPr>
      <w:r w:rsidRPr="1A96B757">
        <w:rPr>
          <w:lang w:val="sr"/>
        </w:rPr>
        <w:t>Discussing standards for enhancing universities' reputation and attractiveness across the Ulysseus alliance</w:t>
      </w:r>
      <w:r>
        <w:t xml:space="preserve"> </w:t>
      </w:r>
    </w:p>
    <w:p w14:paraId="043A8776" w14:textId="4EAC5E94" w:rsidR="00DE728D" w:rsidRDefault="00DE728D" w:rsidP="00DE728D">
      <w:pPr>
        <w:spacing w:before="140" w:after="180"/>
        <w:rPr>
          <w:rFonts w:ascii="Calibri" w:eastAsia="Calibri" w:hAnsi="Calibri" w:cs="Calibri"/>
          <w:i/>
          <w:iCs/>
          <w:lang w:val="sr"/>
        </w:rPr>
      </w:pPr>
      <w:r>
        <w:rPr>
          <w:rFonts w:ascii="Calibri" w:eastAsia="Calibri" w:hAnsi="Calibri" w:cs="Calibri"/>
          <w:i/>
          <w:iCs/>
          <w:lang w:val="sr"/>
        </w:rPr>
        <w:t xml:space="preserve">Report from the Workshop: </w:t>
      </w:r>
      <w:r w:rsidRPr="000C0105">
        <w:rPr>
          <w:rFonts w:ascii="Calibri" w:eastAsia="Calibri" w:hAnsi="Calibri" w:cs="Calibri"/>
          <w:b/>
          <w:i/>
          <w:iCs/>
          <w:lang w:val="sr"/>
        </w:rPr>
        <w:t>Setting Standards for Enhancing Universities’ Reputation and Attractiveness Across the Ulysseus European University</w:t>
      </w:r>
      <w:r w:rsidR="000C0105">
        <w:rPr>
          <w:rFonts w:ascii="Calibri" w:eastAsia="Calibri" w:hAnsi="Calibri" w:cs="Calibri"/>
          <w:b/>
          <w:i/>
          <w:iCs/>
          <w:lang w:val="sr"/>
        </w:rPr>
        <w:t>, October 24, 2025; Košice, Slovakia</w:t>
      </w:r>
      <w:r>
        <w:rPr>
          <w:rFonts w:ascii="Calibri" w:eastAsia="Calibri" w:hAnsi="Calibri" w:cs="Calibri"/>
          <w:i/>
          <w:iCs/>
          <w:lang w:val="sr"/>
        </w:rPr>
        <w:t xml:space="preserve"> </w:t>
      </w:r>
      <w:hyperlink r:id="rId10" w:history="1">
        <w:r w:rsidRPr="00F04843">
          <w:rPr>
            <w:rStyle w:val="Hyperlink"/>
            <w:rFonts w:ascii="Calibri" w:eastAsia="Calibri" w:hAnsi="Calibri" w:cs="Calibri"/>
            <w:i/>
            <w:iCs/>
            <w:lang w:val="sr"/>
          </w:rPr>
          <w:t>https://ulysseus.eu/events/setting-standards-for-enhancing-universities-reputation-and-attractiveness-across-the-ulysseus-european-university/</w:t>
        </w:r>
      </w:hyperlink>
      <w:r>
        <w:rPr>
          <w:rFonts w:ascii="Calibri" w:eastAsia="Calibri" w:hAnsi="Calibri" w:cs="Calibri"/>
          <w:i/>
          <w:iCs/>
          <w:lang w:val="sr"/>
        </w:rPr>
        <w:t xml:space="preserve"> </w:t>
      </w:r>
    </w:p>
    <w:p w14:paraId="4B8A57F8" w14:textId="77777777" w:rsidR="30A15A7B" w:rsidRDefault="30A15A7B" w:rsidP="1A96B757">
      <w:pPr>
        <w:spacing w:before="140" w:after="180"/>
        <w:rPr>
          <w:rFonts w:ascii="Calibri" w:eastAsia="Calibri" w:hAnsi="Calibri" w:cs="Calibri"/>
          <w:i/>
          <w:iCs/>
          <w:lang w:val="sr"/>
        </w:rPr>
      </w:pPr>
      <w:r w:rsidRPr="1A96B757">
        <w:rPr>
          <w:rFonts w:ascii="Calibri" w:eastAsia="Calibri" w:hAnsi="Calibri" w:cs="Calibri"/>
          <w:i/>
          <w:iCs/>
          <w:lang w:val="sr"/>
        </w:rPr>
        <w:t>Branka Zizic (University of Montenegro) &amp; Satu Koivisto (Haaga-Helia University of Applied Sciences)</w:t>
      </w:r>
    </w:p>
    <w:p w14:paraId="430BCF7B" w14:textId="77777777" w:rsidR="54AF79EE" w:rsidRDefault="54AF79EE" w:rsidP="1A96B757">
      <w:pPr>
        <w:spacing w:before="140" w:after="180"/>
        <w:rPr>
          <w:rFonts w:ascii="Calibri" w:eastAsia="Calibri" w:hAnsi="Calibri" w:cs="Calibri"/>
          <w:lang w:val="en-US"/>
        </w:rPr>
      </w:pPr>
      <w:r w:rsidRPr="1A96B757">
        <w:rPr>
          <w:rFonts w:ascii="Calibri" w:eastAsia="Calibri" w:hAnsi="Calibri" w:cs="Calibri"/>
        </w:rPr>
        <w:t xml:space="preserve">Attracting and managing talent is one of the most pressing challenges facing today’s universities. </w:t>
      </w:r>
      <w:r w:rsidR="415F3900" w:rsidRPr="1A96B757">
        <w:rPr>
          <w:rFonts w:ascii="Calibri" w:eastAsia="Calibri" w:hAnsi="Calibri" w:cs="Calibri"/>
        </w:rPr>
        <w:t xml:space="preserve"> European</w:t>
      </w:r>
      <w:r w:rsidRPr="1A96B757">
        <w:rPr>
          <w:rFonts w:ascii="Calibri" w:eastAsia="Calibri" w:hAnsi="Calibri" w:cs="Calibri"/>
        </w:rPr>
        <w:t xml:space="preserve"> higher education institutions (HEIs) </w:t>
      </w:r>
      <w:r w:rsidR="567C0210" w:rsidRPr="1A96B757">
        <w:rPr>
          <w:rFonts w:ascii="Calibri" w:eastAsia="Calibri" w:hAnsi="Calibri" w:cs="Calibri"/>
        </w:rPr>
        <w:t>can</w:t>
      </w:r>
      <w:r w:rsidRPr="1A96B757">
        <w:rPr>
          <w:rFonts w:ascii="Calibri" w:eastAsia="Calibri" w:hAnsi="Calibri" w:cs="Calibri"/>
        </w:rPr>
        <w:t xml:space="preserve"> </w:t>
      </w:r>
      <w:r w:rsidR="3CBDD1BD" w:rsidRPr="1A96B757">
        <w:rPr>
          <w:rFonts w:ascii="Calibri" w:eastAsia="Calibri" w:hAnsi="Calibri" w:cs="Calibri"/>
        </w:rPr>
        <w:t>stand out globally and</w:t>
      </w:r>
      <w:r w:rsidRPr="1A96B757">
        <w:rPr>
          <w:rFonts w:ascii="Calibri" w:eastAsia="Calibri" w:hAnsi="Calibri" w:cs="Calibri"/>
        </w:rPr>
        <w:t xml:space="preserve"> sustainably</w:t>
      </w:r>
      <w:r w:rsidR="3340D6EC" w:rsidRPr="1A96B757">
        <w:rPr>
          <w:rFonts w:ascii="Calibri" w:eastAsia="Calibri" w:hAnsi="Calibri" w:cs="Calibri"/>
        </w:rPr>
        <w:t xml:space="preserve"> as they </w:t>
      </w:r>
      <w:r w:rsidRPr="1A96B757">
        <w:rPr>
          <w:rFonts w:ascii="Calibri" w:eastAsia="Calibri" w:hAnsi="Calibri" w:cs="Calibri"/>
        </w:rPr>
        <w:t>embrace progressive human resources (HR) policies</w:t>
      </w:r>
      <w:r w:rsidR="00C934E3">
        <w:rPr>
          <w:rFonts w:ascii="Calibri" w:eastAsia="Calibri" w:hAnsi="Calibri" w:cs="Calibri"/>
        </w:rPr>
        <w:t xml:space="preserve"> and </w:t>
      </w:r>
      <w:r w:rsidR="00AA5D3B">
        <w:rPr>
          <w:rFonts w:ascii="Calibri" w:eastAsia="Calibri" w:hAnsi="Calibri" w:cs="Calibri"/>
        </w:rPr>
        <w:t>research evaluation practices</w:t>
      </w:r>
      <w:r w:rsidRPr="1A96B757">
        <w:rPr>
          <w:rFonts w:ascii="Calibri" w:eastAsia="Calibri" w:hAnsi="Calibri" w:cs="Calibri"/>
        </w:rPr>
        <w:t xml:space="preserve"> that foster </w:t>
      </w:r>
      <w:r w:rsidR="10CA4934" w:rsidRPr="1A96B757">
        <w:rPr>
          <w:rFonts w:ascii="Calibri" w:eastAsia="Calibri" w:hAnsi="Calibri" w:cs="Calibri"/>
        </w:rPr>
        <w:t xml:space="preserve">fair working conditions, </w:t>
      </w:r>
      <w:r w:rsidRPr="1A96B757">
        <w:rPr>
          <w:rFonts w:ascii="Calibri" w:eastAsia="Calibri" w:hAnsi="Calibri" w:cs="Calibri"/>
        </w:rPr>
        <w:t xml:space="preserve">diversity, inclusion, </w:t>
      </w:r>
      <w:r w:rsidR="7287797B" w:rsidRPr="1A96B757">
        <w:rPr>
          <w:rFonts w:ascii="Calibri" w:eastAsia="Calibri" w:hAnsi="Calibri" w:cs="Calibri"/>
        </w:rPr>
        <w:t xml:space="preserve">and </w:t>
      </w:r>
      <w:r w:rsidRPr="1A96B757">
        <w:rPr>
          <w:rFonts w:ascii="Calibri" w:eastAsia="Calibri" w:hAnsi="Calibri" w:cs="Calibri"/>
        </w:rPr>
        <w:t>collaboration</w:t>
      </w:r>
      <w:r w:rsidR="4F1CF6AF" w:rsidRPr="1A96B757">
        <w:rPr>
          <w:rFonts w:ascii="Calibri" w:eastAsia="Calibri" w:hAnsi="Calibri" w:cs="Calibri"/>
        </w:rPr>
        <w:t>.</w:t>
      </w:r>
      <w:r w:rsidRPr="1A96B757">
        <w:rPr>
          <w:rFonts w:ascii="Calibri" w:eastAsia="Calibri" w:hAnsi="Calibri" w:cs="Calibri"/>
        </w:rPr>
        <w:t xml:space="preserve"> These elements are increasingly recognized as key drivers of institutional excellence and global competitiveness</w:t>
      </w:r>
      <w:r w:rsidR="621142DD" w:rsidRPr="1A96B757">
        <w:rPr>
          <w:rFonts w:ascii="Calibri" w:eastAsia="Calibri" w:hAnsi="Calibri" w:cs="Calibri"/>
        </w:rPr>
        <w:t xml:space="preserve"> of European universities</w:t>
      </w:r>
      <w:r w:rsidR="00A85E0F">
        <w:rPr>
          <w:rFonts w:ascii="Calibri" w:eastAsia="Calibri" w:hAnsi="Calibri" w:cs="Calibri"/>
        </w:rPr>
        <w:t xml:space="preserve"> (</w:t>
      </w:r>
      <w:r w:rsidR="009625CA">
        <w:rPr>
          <w:rFonts w:ascii="Calibri" w:eastAsia="Calibri" w:hAnsi="Calibri" w:cs="Calibri"/>
        </w:rPr>
        <w:t xml:space="preserve">European Charter for Researchers, </w:t>
      </w:r>
      <w:r w:rsidR="00FF4F3B">
        <w:rPr>
          <w:rFonts w:ascii="Calibri" w:eastAsia="Calibri" w:hAnsi="Calibri" w:cs="Calibri"/>
        </w:rPr>
        <w:t>2025</w:t>
      </w:r>
      <w:r w:rsidR="00A85E0F">
        <w:rPr>
          <w:rFonts w:ascii="Calibri" w:eastAsia="Calibri" w:hAnsi="Calibri" w:cs="Calibri"/>
        </w:rPr>
        <w:t>)</w:t>
      </w:r>
      <w:r w:rsidRPr="1A96B757">
        <w:rPr>
          <w:rFonts w:ascii="Calibri" w:eastAsia="Calibri" w:hAnsi="Calibri" w:cs="Calibri"/>
        </w:rPr>
        <w:t>.</w:t>
      </w:r>
      <w:r w:rsidR="2BE6F24F" w:rsidRPr="1A96B757">
        <w:rPr>
          <w:rFonts w:ascii="Calibri" w:eastAsia="Calibri" w:hAnsi="Calibri" w:cs="Calibri"/>
        </w:rPr>
        <w:t xml:space="preserve"> As such, Ulysseus, a thriving European University </w:t>
      </w:r>
      <w:r w:rsidR="14719697" w:rsidRPr="1A96B757">
        <w:rPr>
          <w:rFonts w:ascii="Calibri" w:eastAsia="Calibri" w:hAnsi="Calibri" w:cs="Calibri"/>
        </w:rPr>
        <w:t>Alliance,</w:t>
      </w:r>
      <w:r w:rsidR="2BE6F24F" w:rsidRPr="1A96B757">
        <w:rPr>
          <w:rFonts w:ascii="Calibri" w:eastAsia="Calibri" w:hAnsi="Calibri" w:cs="Calibri"/>
        </w:rPr>
        <w:t xml:space="preserve"> </w:t>
      </w:r>
      <w:r w:rsidR="5BEBAB40" w:rsidRPr="1A96B757">
        <w:rPr>
          <w:rFonts w:ascii="Calibri" w:eastAsia="Calibri" w:hAnsi="Calibri" w:cs="Calibri"/>
        </w:rPr>
        <w:t xml:space="preserve">has also started discussions on </w:t>
      </w:r>
      <w:r w:rsidR="54E79D97" w:rsidRPr="1A96B757">
        <w:rPr>
          <w:rFonts w:ascii="Calibri" w:eastAsia="Calibri" w:hAnsi="Calibri" w:cs="Calibri"/>
        </w:rPr>
        <w:t>the standards for enhancing the reputation and attractiveness of universities of Ulysseus alliance.</w:t>
      </w:r>
    </w:p>
    <w:p w14:paraId="3723736E" w14:textId="77777777" w:rsidR="1BC36F41" w:rsidRDefault="1BC36F41" w:rsidP="1A96B757">
      <w:pPr>
        <w:spacing w:before="140" w:after="180"/>
        <w:rPr>
          <w:rFonts w:ascii="Calibri" w:eastAsia="Calibri" w:hAnsi="Calibri" w:cs="Calibri"/>
          <w:lang w:val="en-US"/>
        </w:rPr>
      </w:pPr>
      <w:r w:rsidRPr="1A96B757">
        <w:rPr>
          <w:rFonts w:ascii="Calibri" w:eastAsia="Calibri" w:hAnsi="Calibri" w:cs="Calibri"/>
        </w:rPr>
        <w:t>To support the</w:t>
      </w:r>
      <w:r w:rsidR="32A00861" w:rsidRPr="1A96B757">
        <w:rPr>
          <w:rFonts w:ascii="Calibri" w:eastAsia="Calibri" w:hAnsi="Calibri" w:cs="Calibri"/>
        </w:rPr>
        <w:t>se</w:t>
      </w:r>
      <w:r w:rsidRPr="1A96B757">
        <w:rPr>
          <w:rFonts w:ascii="Calibri" w:eastAsia="Calibri" w:hAnsi="Calibri" w:cs="Calibri"/>
        </w:rPr>
        <w:t xml:space="preserve"> discussions,</w:t>
      </w:r>
      <w:r>
        <w:t xml:space="preserve"> </w:t>
      </w:r>
      <w:r w:rsidR="007632BC">
        <w:t>t</w:t>
      </w:r>
      <w:r w:rsidR="2BE6F24F">
        <w:t xml:space="preserve">he </w:t>
      </w:r>
      <w:r w:rsidR="007632BC">
        <w:t xml:space="preserve">Alliance’s </w:t>
      </w:r>
      <w:r w:rsidR="2BE6F24F">
        <w:t xml:space="preserve">representatives gathered in Košice, Slovakia on October 24, 2025, for a deep dive workshop on current advancements of research assessment and talent attraction policies and practices across the diverse university environments that constitute this alliance. A co-created agenda in the preparatory stage of the workshop, with involvement of </w:t>
      </w:r>
      <w:r w:rsidR="40CB25AE">
        <w:t>two</w:t>
      </w:r>
      <w:r w:rsidR="2BE6F24F">
        <w:t xml:space="preserve"> related task forces of Ulysseus and invitation of </w:t>
      </w:r>
      <w:r w:rsidR="49B561AF">
        <w:t>high-level</w:t>
      </w:r>
      <w:r w:rsidR="2BE6F24F">
        <w:t xml:space="preserve"> speakers – vice-rectors, unit directors and seasoned experts anticipate</w:t>
      </w:r>
      <w:r w:rsidR="02EF1688">
        <w:t>d</w:t>
      </w:r>
      <w:r w:rsidR="2BE6F24F">
        <w:t xml:space="preserve"> a high quality of the exchange and learning event.</w:t>
      </w:r>
    </w:p>
    <w:p w14:paraId="66102351" w14:textId="77777777" w:rsidR="06414735" w:rsidRPr="00AD7122" w:rsidRDefault="06414735" w:rsidP="1A96B757">
      <w:pPr>
        <w:spacing w:before="240" w:after="240"/>
        <w:rPr>
          <w:rFonts w:ascii="Calibri" w:eastAsia="Calibri" w:hAnsi="Calibri" w:cs="Calibri"/>
        </w:rPr>
      </w:pPr>
      <w:r w:rsidRPr="1A96B757">
        <w:rPr>
          <w:rFonts w:ascii="Calibri" w:eastAsia="Calibri" w:hAnsi="Calibri" w:cs="Calibri"/>
        </w:rPr>
        <w:t xml:space="preserve">The purpose of the workshop </w:t>
      </w:r>
      <w:r w:rsidR="18632AB5" w:rsidRPr="1A96B757">
        <w:rPr>
          <w:rFonts w:ascii="Calibri" w:eastAsia="Calibri" w:hAnsi="Calibri" w:cs="Calibri"/>
        </w:rPr>
        <w:t xml:space="preserve">was </w:t>
      </w:r>
      <w:r w:rsidRPr="1A96B757">
        <w:rPr>
          <w:rFonts w:ascii="Calibri" w:eastAsia="Calibri" w:hAnsi="Calibri" w:cs="Calibri"/>
        </w:rPr>
        <w:t xml:space="preserve">to </w:t>
      </w:r>
      <w:r w:rsidRPr="00AD7122">
        <w:rPr>
          <w:rFonts w:ascii="Calibri" w:eastAsia="Calibri" w:hAnsi="Calibri" w:cs="Calibri"/>
        </w:rPr>
        <w:t xml:space="preserve">foster knowledge exchange and strategic dialogue among </w:t>
      </w:r>
      <w:r w:rsidR="158A1B0F" w:rsidRPr="00AD7122">
        <w:rPr>
          <w:rFonts w:ascii="Calibri" w:eastAsia="Calibri" w:hAnsi="Calibri" w:cs="Calibri"/>
        </w:rPr>
        <w:t xml:space="preserve">Ulysseys alliance universities. </w:t>
      </w:r>
      <w:r w:rsidRPr="00AD7122">
        <w:rPr>
          <w:rFonts w:ascii="Calibri" w:eastAsia="Calibri" w:hAnsi="Calibri" w:cs="Calibri"/>
        </w:rPr>
        <w:t xml:space="preserve">Participants </w:t>
      </w:r>
      <w:r w:rsidR="3C34922D" w:rsidRPr="00AD7122">
        <w:rPr>
          <w:rFonts w:ascii="Calibri" w:eastAsia="Calibri" w:hAnsi="Calibri" w:cs="Calibri"/>
        </w:rPr>
        <w:t xml:space="preserve">shared the good </w:t>
      </w:r>
      <w:r w:rsidR="1EEA83BF" w:rsidRPr="00AD7122">
        <w:rPr>
          <w:rFonts w:ascii="Calibri" w:eastAsia="Calibri" w:hAnsi="Calibri" w:cs="Calibri"/>
        </w:rPr>
        <w:t>practices</w:t>
      </w:r>
      <w:r w:rsidR="45067A76" w:rsidRPr="00AD7122">
        <w:rPr>
          <w:rFonts w:ascii="Calibri" w:eastAsia="Calibri" w:hAnsi="Calibri" w:cs="Calibri"/>
        </w:rPr>
        <w:t xml:space="preserve">, addressed implementation challenges, </w:t>
      </w:r>
      <w:r w:rsidR="1EEA83BF" w:rsidRPr="00AD7122">
        <w:rPr>
          <w:rFonts w:ascii="Calibri" w:eastAsia="Calibri" w:hAnsi="Calibri" w:cs="Calibri"/>
        </w:rPr>
        <w:t xml:space="preserve">and </w:t>
      </w:r>
      <w:r w:rsidR="3C34922D" w:rsidRPr="00AD7122">
        <w:rPr>
          <w:rFonts w:ascii="Calibri" w:eastAsia="Calibri" w:hAnsi="Calibri" w:cs="Calibri"/>
        </w:rPr>
        <w:t>discussed</w:t>
      </w:r>
      <w:r w:rsidRPr="00AD7122">
        <w:rPr>
          <w:rFonts w:ascii="Calibri" w:eastAsia="Calibri" w:hAnsi="Calibri" w:cs="Calibri"/>
        </w:rPr>
        <w:t xml:space="preserve"> how recruitment, mobility, and working conditions can be </w:t>
      </w:r>
      <w:r w:rsidR="7D3E3005" w:rsidRPr="00AD7122">
        <w:rPr>
          <w:rFonts w:ascii="Calibri" w:eastAsia="Calibri" w:hAnsi="Calibri" w:cs="Calibri"/>
        </w:rPr>
        <w:t xml:space="preserve">used </w:t>
      </w:r>
      <w:r w:rsidRPr="00AD7122">
        <w:rPr>
          <w:rFonts w:ascii="Calibri" w:eastAsia="Calibri" w:hAnsi="Calibri" w:cs="Calibri"/>
        </w:rPr>
        <w:t>to support a thriving academic community.</w:t>
      </w:r>
      <w:r w:rsidR="09F25B98" w:rsidRPr="00AD7122">
        <w:rPr>
          <w:rFonts w:ascii="Calibri" w:eastAsia="Calibri" w:hAnsi="Calibri" w:cs="Calibri"/>
        </w:rPr>
        <w:t xml:space="preserve"> </w:t>
      </w:r>
      <w:r w:rsidRPr="00AD7122">
        <w:rPr>
          <w:rFonts w:ascii="Calibri" w:eastAsia="Calibri" w:hAnsi="Calibri" w:cs="Calibri"/>
        </w:rPr>
        <w:t xml:space="preserve">A key focus </w:t>
      </w:r>
      <w:r w:rsidR="4964575A" w:rsidRPr="00AD7122">
        <w:rPr>
          <w:rFonts w:ascii="Calibri" w:eastAsia="Calibri" w:hAnsi="Calibri" w:cs="Calibri"/>
        </w:rPr>
        <w:t>was</w:t>
      </w:r>
      <w:r w:rsidRPr="00AD7122">
        <w:rPr>
          <w:rFonts w:ascii="Calibri" w:eastAsia="Calibri" w:hAnsi="Calibri" w:cs="Calibri"/>
        </w:rPr>
        <w:t xml:space="preserve"> on European-wide standards such as the </w:t>
      </w:r>
      <w:hyperlink r:id="rId11">
        <w:r w:rsidRPr="00AD7122">
          <w:rPr>
            <w:rStyle w:val="Hyperlink"/>
            <w:rFonts w:ascii="Calibri" w:eastAsia="Calibri" w:hAnsi="Calibri" w:cs="Calibri"/>
          </w:rPr>
          <w:t>HR Strategy for Researchers</w:t>
        </w:r>
      </w:hyperlink>
      <w:r w:rsidRPr="00AD7122">
        <w:rPr>
          <w:rFonts w:ascii="Calibri" w:eastAsia="Calibri" w:hAnsi="Calibri" w:cs="Calibri"/>
        </w:rPr>
        <w:t xml:space="preserve"> (HRS4R) and their compatibility with the principles of </w:t>
      </w:r>
      <w:hyperlink r:id="rId12">
        <w:r w:rsidRPr="00AD7122">
          <w:rPr>
            <w:rStyle w:val="Hyperlink"/>
            <w:rFonts w:ascii="Calibri" w:eastAsia="Calibri" w:hAnsi="Calibri" w:cs="Calibri"/>
          </w:rPr>
          <w:t>CoARA</w:t>
        </w:r>
      </w:hyperlink>
      <w:r w:rsidRPr="00AD7122">
        <w:rPr>
          <w:rFonts w:ascii="Calibri" w:eastAsia="Calibri" w:hAnsi="Calibri" w:cs="Calibri"/>
        </w:rPr>
        <w:t xml:space="preserve"> (Coalition for Advancing Research Assessment). These frameworks emphasize the importance of recognizing diverse research careers and improving the work</w:t>
      </w:r>
      <w:r w:rsidR="0089325B">
        <w:rPr>
          <w:rFonts w:ascii="Calibri" w:eastAsia="Calibri" w:hAnsi="Calibri" w:cs="Calibri"/>
        </w:rPr>
        <w:t xml:space="preserve">ing environments of researchers – </w:t>
      </w:r>
      <w:r w:rsidRPr="00AD7122">
        <w:rPr>
          <w:rFonts w:ascii="Calibri" w:eastAsia="Calibri" w:hAnsi="Calibri" w:cs="Calibri"/>
        </w:rPr>
        <w:t>critical elements for institutional excellence and global competitiveness.</w:t>
      </w:r>
    </w:p>
    <w:p w14:paraId="1427CAE5" w14:textId="77777777" w:rsidR="6B21D193" w:rsidRDefault="6B21D193" w:rsidP="1A96B757">
      <w:pPr>
        <w:pStyle w:val="Heading2"/>
        <w:rPr>
          <w:rFonts w:ascii="Calibri" w:eastAsia="Calibri" w:hAnsi="Calibri" w:cs="Calibri"/>
          <w:sz w:val="22"/>
          <w:szCs w:val="22"/>
          <w:lang w:val="en-US"/>
        </w:rPr>
      </w:pPr>
      <w:r w:rsidRPr="1A96B757">
        <w:rPr>
          <w:lang w:val="en-US"/>
        </w:rPr>
        <w:t xml:space="preserve">Exploring novelties in research assessment </w:t>
      </w:r>
    </w:p>
    <w:p w14:paraId="559F7F51" w14:textId="77777777" w:rsidR="6B21D193" w:rsidRDefault="6B21D193">
      <w:r>
        <w:t xml:space="preserve">The first session dealt with novelties in research assessment from </w:t>
      </w:r>
      <w:r w:rsidR="0B77EC4F">
        <w:t>two</w:t>
      </w:r>
      <w:r>
        <w:t xml:space="preserve"> diverse perspectives: </w:t>
      </w:r>
      <w:r w:rsidR="008C2A16">
        <w:t xml:space="preserve">First, </w:t>
      </w:r>
      <w:r>
        <w:t>University of Genova (</w:t>
      </w:r>
      <w:r w:rsidR="00347673">
        <w:t xml:space="preserve">UNIGE; </w:t>
      </w:r>
      <w:r>
        <w:t xml:space="preserve">talk by </w:t>
      </w:r>
      <w:r w:rsidRPr="00F526EC">
        <w:rPr>
          <w:b/>
        </w:rPr>
        <w:t>vice-rector Laura Gaggero</w:t>
      </w:r>
      <w:r>
        <w:t xml:space="preserve">) which has implemented a nationally driven RA exercise of the Italian Agency for Evaluation of the University and Research System ANVUR; and </w:t>
      </w:r>
      <w:r w:rsidR="00BC07C7">
        <w:t xml:space="preserve">second, </w:t>
      </w:r>
      <w:r>
        <w:t xml:space="preserve">University Cote d’ Azur (talk by </w:t>
      </w:r>
      <w:r w:rsidRPr="00F526EC">
        <w:rPr>
          <w:b/>
        </w:rPr>
        <w:t>Vincent Dusastre, Head of International Scientific Visibility</w:t>
      </w:r>
      <w:r>
        <w:t xml:space="preserve">) and University Haaga Helia (talk by </w:t>
      </w:r>
      <w:r w:rsidRPr="00F526EC">
        <w:rPr>
          <w:b/>
        </w:rPr>
        <w:t>Satu Koivisto, Research and Information Services Director</w:t>
      </w:r>
      <w:r>
        <w:t xml:space="preserve">) which have adopted CoARA framework – a EU guided blueprint for a more quality oriented and responsible research assessment. </w:t>
      </w:r>
    </w:p>
    <w:p w14:paraId="62E4353E" w14:textId="77777777" w:rsidR="6B21D193" w:rsidRDefault="6B21D193">
      <w:r>
        <w:lastRenderedPageBreak/>
        <w:t xml:space="preserve">The transparency and standardisation of </w:t>
      </w:r>
      <w:r w:rsidR="00555D11">
        <w:t xml:space="preserve">university </w:t>
      </w:r>
      <w:r>
        <w:t xml:space="preserve">data recently introduced in Italy, has provided not only the national funding agencies with relevant data, but primarily the universities themselves, researchers and all the interested. The universities are now in the position to carry out deep analytics with easily accessible and researchable data, making their decision processes based on evidence, through a </w:t>
      </w:r>
      <w:hyperlink r:id="rId13">
        <w:r w:rsidRPr="1A96B757">
          <w:rPr>
            <w:rStyle w:val="Hyperlink"/>
          </w:rPr>
          <w:t>University System Dashboard</w:t>
        </w:r>
      </w:hyperlink>
      <w:r>
        <w:t xml:space="preserve">. In addition, the University has introduced analytical budgeting, allowing optimisation, savings and smart investment decisions. All these changes were guided by legal amendments which introduced a different funding model for Italian universities, where </w:t>
      </w:r>
      <w:r w:rsidR="619335E6">
        <w:t>most of the</w:t>
      </w:r>
      <w:r>
        <w:t xml:space="preserve"> funding is offered based on attractiveness and quality of teaching, complemented by research budget which depends on research quality and performance, mainly relying on quantitative data. The Italian practice of evaluation of scientific products has been highlighted as a good practice recommended for sharing across the alliance. </w:t>
      </w:r>
    </w:p>
    <w:p w14:paraId="67DB7E29" w14:textId="77777777" w:rsidR="007970AE" w:rsidRDefault="6B21D193" w:rsidP="00861D49">
      <w:r>
        <w:t xml:space="preserve">The adoption of the </w:t>
      </w:r>
      <w:proofErr w:type="spellStart"/>
      <w:r w:rsidRPr="00F413C0">
        <w:t>CoARA</w:t>
      </w:r>
      <w:proofErr w:type="spellEnd"/>
      <w:r w:rsidRPr="00F413C0">
        <w:t xml:space="preserve"> </w:t>
      </w:r>
      <w:r w:rsidR="00F413C0" w:rsidRPr="00F413C0">
        <w:rPr>
          <w:rFonts w:ascii="Calibri" w:eastAsia="Calibri" w:hAnsi="Calibri" w:cs="Calibri"/>
          <w:lang w:val="sr"/>
        </w:rPr>
        <w:t>(Coalition for Advancing Research Assessment)</w:t>
      </w:r>
      <w:r w:rsidR="00F413C0" w:rsidRPr="1A96B757">
        <w:rPr>
          <w:rFonts w:ascii="Calibri" w:eastAsia="Calibri" w:hAnsi="Calibri" w:cs="Calibri"/>
          <w:lang w:val="sr"/>
        </w:rPr>
        <w:t xml:space="preserve"> </w:t>
      </w:r>
      <w:r>
        <w:t xml:space="preserve">framework for research assessment </w:t>
      </w:r>
      <w:r w:rsidR="005A4632">
        <w:t xml:space="preserve">presented by </w:t>
      </w:r>
      <w:r w:rsidR="0091498A">
        <w:t>University Cote d’ Azur</w:t>
      </w:r>
      <w:r>
        <w:t xml:space="preserve"> and Haaga-Helia University </w:t>
      </w:r>
      <w:r w:rsidR="0091498A">
        <w:t xml:space="preserve">of Applied Sciences </w:t>
      </w:r>
      <w:r>
        <w:t xml:space="preserve">is </w:t>
      </w:r>
      <w:r w:rsidR="005A4632">
        <w:t>a way how to overcome limitations of traditional university metrics</w:t>
      </w:r>
      <w:r>
        <w:t xml:space="preserve">. Namely, </w:t>
      </w:r>
      <w:proofErr w:type="spellStart"/>
      <w:r>
        <w:t>CoARA</w:t>
      </w:r>
      <w:proofErr w:type="spellEnd"/>
      <w:r>
        <w:t xml:space="preserve"> is a European initiative launched in 2022 by European Commission to reform how research and researchers are evaluated. It</w:t>
      </w:r>
      <w:r w:rsidR="2904100D">
        <w:t xml:space="preserve"> is built around ten commitments </w:t>
      </w:r>
      <w:r w:rsidR="007A4DE8">
        <w:t>(</w:t>
      </w:r>
      <w:proofErr w:type="spellStart"/>
      <w:r w:rsidR="008C3FD1">
        <w:fldChar w:fldCharType="begin"/>
      </w:r>
      <w:r w:rsidR="008C3FD1">
        <w:instrText>HYPERLINK "https://www.coara.org/agreement/the-commitments/"</w:instrText>
      </w:r>
      <w:r w:rsidR="008C3FD1">
        <w:fldChar w:fldCharType="separate"/>
      </w:r>
      <w:r w:rsidR="008C3FD1" w:rsidRPr="008C3FD1">
        <w:rPr>
          <w:rStyle w:val="Hyperlink"/>
        </w:rPr>
        <w:t>CoARA</w:t>
      </w:r>
      <w:proofErr w:type="spellEnd"/>
      <w:r w:rsidR="008C3FD1" w:rsidRPr="008C3FD1">
        <w:rPr>
          <w:rStyle w:val="Hyperlink"/>
        </w:rPr>
        <w:t>, 2025</w:t>
      </w:r>
      <w:r w:rsidR="008C3FD1">
        <w:fldChar w:fldCharType="end"/>
      </w:r>
      <w:r w:rsidR="008C3FD1">
        <w:t xml:space="preserve">) </w:t>
      </w:r>
      <w:r w:rsidR="2904100D">
        <w:t>that</w:t>
      </w:r>
      <w:r>
        <w:t xml:space="preserve"> promote </w:t>
      </w:r>
      <w:proofErr w:type="spellStart"/>
      <w:r w:rsidR="0089325B">
        <w:t>e.g</w:t>
      </w:r>
      <w:proofErr w:type="spellEnd"/>
      <w:r w:rsidR="008C3FD1">
        <w:t xml:space="preserve">, </w:t>
      </w:r>
      <w:r>
        <w:t>qualitative peer review and recognition of diverse research outputs</w:t>
      </w:r>
      <w:r w:rsidR="008C3FD1">
        <w:t xml:space="preserve"> such as </w:t>
      </w:r>
      <w:r>
        <w:t xml:space="preserve">datasets, software, </w:t>
      </w:r>
      <w:r w:rsidR="006265FB">
        <w:t>and societal</w:t>
      </w:r>
      <w:r>
        <w:t xml:space="preserve"> impact over reliance on</w:t>
      </w:r>
      <w:r w:rsidR="005A4632">
        <w:t>ly on</w:t>
      </w:r>
      <w:r>
        <w:t xml:space="preserve"> quantitative metrics like journal impact factors and citation counts. </w:t>
      </w:r>
    </w:p>
    <w:p w14:paraId="6A83E7A6" w14:textId="73ADCF5F" w:rsidR="00861D49" w:rsidRDefault="00CA21DD" w:rsidP="00861D49">
      <w:pPr>
        <w:rPr>
          <w:lang w:val="en-US"/>
        </w:rPr>
      </w:pPr>
      <w:r>
        <w:t>Almost</w:t>
      </w:r>
      <w:r w:rsidR="008C3FD1">
        <w:t xml:space="preserve"> </w:t>
      </w:r>
      <w:r w:rsidR="00861D49" w:rsidRPr="00861D49">
        <w:rPr>
          <w:lang w:val="en-US"/>
        </w:rPr>
        <w:t xml:space="preserve">800 </w:t>
      </w:r>
      <w:r w:rsidR="00D92ECE">
        <w:rPr>
          <w:lang w:val="en-US"/>
        </w:rPr>
        <w:t>i</w:t>
      </w:r>
      <w:r w:rsidR="00861D49" w:rsidRPr="00861D49">
        <w:rPr>
          <w:lang w:val="en-US"/>
        </w:rPr>
        <w:t xml:space="preserve">nternational </w:t>
      </w:r>
      <w:r w:rsidR="00D92ECE">
        <w:rPr>
          <w:lang w:val="en-US"/>
        </w:rPr>
        <w:t xml:space="preserve">research organizations have signed the commitment </w:t>
      </w:r>
      <w:r w:rsidR="00861D49" w:rsidRPr="00861D49">
        <w:rPr>
          <w:lang w:val="en-US"/>
        </w:rPr>
        <w:t>(</w:t>
      </w:r>
      <w:r w:rsidR="00CF687F">
        <w:rPr>
          <w:lang w:val="en-US"/>
        </w:rPr>
        <w:t xml:space="preserve">as of </w:t>
      </w:r>
      <w:r>
        <w:rPr>
          <w:lang w:val="en-US"/>
        </w:rPr>
        <w:t>November</w:t>
      </w:r>
      <w:r w:rsidR="005A4632">
        <w:rPr>
          <w:lang w:val="en-US"/>
        </w:rPr>
        <w:t xml:space="preserve"> 2025), including University</w:t>
      </w:r>
      <w:r w:rsidR="00861D49" w:rsidRPr="00861D49">
        <w:rPr>
          <w:lang w:val="en-US"/>
        </w:rPr>
        <w:t xml:space="preserve"> Côte d’Azur</w:t>
      </w:r>
      <w:r w:rsidR="00D72407">
        <w:rPr>
          <w:lang w:val="en-US"/>
        </w:rPr>
        <w:t xml:space="preserve"> (</w:t>
      </w:r>
      <w:proofErr w:type="spellStart"/>
      <w:r w:rsidR="00D72407">
        <w:rPr>
          <w:lang w:val="en-US"/>
        </w:rPr>
        <w:t>UniCA</w:t>
      </w:r>
      <w:proofErr w:type="spellEnd"/>
      <w:r w:rsidR="00D72407">
        <w:rPr>
          <w:lang w:val="en-US"/>
        </w:rPr>
        <w:t>)</w:t>
      </w:r>
      <w:r w:rsidR="005A4632">
        <w:rPr>
          <w:lang w:val="en-US"/>
        </w:rPr>
        <w:t>, University of Geno</w:t>
      </w:r>
      <w:r w:rsidR="00861D49" w:rsidRPr="00861D49">
        <w:rPr>
          <w:lang w:val="en-US"/>
        </w:rPr>
        <w:t>a,</w:t>
      </w:r>
      <w:r w:rsidR="005A4632">
        <w:rPr>
          <w:lang w:val="en-US"/>
        </w:rPr>
        <w:t xml:space="preserve"> University of Seville</w:t>
      </w:r>
      <w:r w:rsidR="00D92ECE">
        <w:rPr>
          <w:lang w:val="en-US"/>
        </w:rPr>
        <w:t xml:space="preserve"> and</w:t>
      </w:r>
      <w:r w:rsidR="00861D49" w:rsidRPr="00861D49">
        <w:rPr>
          <w:lang w:val="en-US"/>
        </w:rPr>
        <w:t xml:space="preserve"> Haaga-Helia</w:t>
      </w:r>
      <w:r w:rsidR="00D92ECE">
        <w:rPr>
          <w:lang w:val="en-US"/>
        </w:rPr>
        <w:t xml:space="preserve"> from </w:t>
      </w:r>
      <w:proofErr w:type="spellStart"/>
      <w:r w:rsidR="00D92ECE">
        <w:rPr>
          <w:lang w:val="en-US"/>
        </w:rPr>
        <w:t>Ulysseus</w:t>
      </w:r>
      <w:proofErr w:type="spellEnd"/>
      <w:r w:rsidR="00D92ECE">
        <w:rPr>
          <w:lang w:val="en-US"/>
        </w:rPr>
        <w:t xml:space="preserve"> Alliance. </w:t>
      </w:r>
      <w:r w:rsidR="007970AE">
        <w:t xml:space="preserve">The universities are required to adopt an action plan for the implementation of the </w:t>
      </w:r>
      <w:proofErr w:type="spellStart"/>
      <w:r w:rsidR="007970AE">
        <w:t>CoARA</w:t>
      </w:r>
      <w:proofErr w:type="spellEnd"/>
      <w:r w:rsidR="007970AE">
        <w:t xml:space="preserve"> principles and fair, transparent, and inclusive assessment practices. </w:t>
      </w:r>
      <w:r w:rsidR="00D72407">
        <w:rPr>
          <w:lang w:val="en-US"/>
        </w:rPr>
        <w:t xml:space="preserve">Haaga-Helia published </w:t>
      </w:r>
      <w:r w:rsidR="007970AE">
        <w:rPr>
          <w:lang w:val="en-US"/>
        </w:rPr>
        <w:t xml:space="preserve">its action plan in 2024 for years 2024-2027 and </w:t>
      </w:r>
      <w:proofErr w:type="spellStart"/>
      <w:r w:rsidR="00D72407">
        <w:rPr>
          <w:lang w:val="en-US"/>
        </w:rPr>
        <w:t>UniCa</w:t>
      </w:r>
      <w:proofErr w:type="spellEnd"/>
      <w:r w:rsidR="00D72407">
        <w:rPr>
          <w:lang w:val="en-US"/>
        </w:rPr>
        <w:t xml:space="preserve"> will publish its action plan in 2026 for years 2026-2029. </w:t>
      </w:r>
      <w:r w:rsidR="00ED0F23">
        <w:rPr>
          <w:lang w:val="en-US"/>
        </w:rPr>
        <w:t xml:space="preserve">The workshop was an opportunity for the remaining four universities who </w:t>
      </w:r>
      <w:r w:rsidR="005769F5">
        <w:rPr>
          <w:lang w:val="en-US"/>
        </w:rPr>
        <w:t xml:space="preserve">have not joined the </w:t>
      </w:r>
      <w:proofErr w:type="spellStart"/>
      <w:r w:rsidR="005769F5">
        <w:rPr>
          <w:lang w:val="en-US"/>
        </w:rPr>
        <w:t>CoARA</w:t>
      </w:r>
      <w:proofErr w:type="spellEnd"/>
      <w:r w:rsidR="005769F5">
        <w:rPr>
          <w:lang w:val="en-US"/>
        </w:rPr>
        <w:t xml:space="preserve"> to be better informed and receive firsthand experience from their peers. </w:t>
      </w:r>
    </w:p>
    <w:p w14:paraId="615AB5B3" w14:textId="77777777" w:rsidR="00DF281A" w:rsidRDefault="50E2F8A4">
      <w:r>
        <w:t>According</w:t>
      </w:r>
      <w:r w:rsidR="2606BC0B">
        <w:t xml:space="preserve"> to </w:t>
      </w:r>
      <w:r w:rsidR="2606BC0B" w:rsidRPr="00F526EC">
        <w:rPr>
          <w:b/>
        </w:rPr>
        <w:t>Vincent Duastre</w:t>
      </w:r>
      <w:r w:rsidR="00F73CD4">
        <w:t xml:space="preserve"> from </w:t>
      </w:r>
      <w:proofErr w:type="spellStart"/>
      <w:r w:rsidR="00F73CD4">
        <w:t>UniCa</w:t>
      </w:r>
      <w:proofErr w:type="spellEnd"/>
      <w:r w:rsidR="2606BC0B">
        <w:t>, t</w:t>
      </w:r>
      <w:r w:rsidR="6B21D193">
        <w:t>h</w:t>
      </w:r>
      <w:r w:rsidR="00F73CD4">
        <w:t xml:space="preserve">e goals of </w:t>
      </w:r>
      <w:proofErr w:type="spellStart"/>
      <w:r w:rsidR="00F73CD4">
        <w:t>CoARA</w:t>
      </w:r>
      <w:proofErr w:type="spellEnd"/>
      <w:r w:rsidR="6B21D193">
        <w:t xml:space="preserve"> align with broader excellence goals for university Cote d’ Azur and generally universities in France</w:t>
      </w:r>
      <w:r w:rsidR="005769F5">
        <w:t>, who are actively seeking for more inclusive research assessment</w:t>
      </w:r>
      <w:r w:rsidR="79B8DB4F">
        <w:t xml:space="preserve">. </w:t>
      </w:r>
      <w:r w:rsidR="798D6923">
        <w:t xml:space="preserve">Satu Koivisto </w:t>
      </w:r>
      <w:r w:rsidR="26C81A0E">
        <w:t xml:space="preserve">from Haaga-Helia </w:t>
      </w:r>
      <w:r w:rsidR="00D85F03">
        <w:t>U</w:t>
      </w:r>
      <w:r w:rsidR="26C81A0E">
        <w:t xml:space="preserve">niversity of </w:t>
      </w:r>
      <w:r w:rsidR="00D85F03">
        <w:t>A</w:t>
      </w:r>
      <w:r w:rsidR="26C81A0E">
        <w:t xml:space="preserve">pplied </w:t>
      </w:r>
      <w:r w:rsidR="00D85F03">
        <w:t>S</w:t>
      </w:r>
      <w:r w:rsidR="26C81A0E">
        <w:t xml:space="preserve">ciences </w:t>
      </w:r>
      <w:r w:rsidR="798D6923">
        <w:t xml:space="preserve">also highlighted that </w:t>
      </w:r>
      <w:r w:rsidR="7755AAC7">
        <w:t xml:space="preserve">the vision and commitments of CoARA are </w:t>
      </w:r>
      <w:r w:rsidR="2B7F6266">
        <w:t>in line with Haaga-Helia's strategic goals</w:t>
      </w:r>
      <w:r w:rsidR="7097A081">
        <w:t>,</w:t>
      </w:r>
      <w:r w:rsidR="2B7F6266">
        <w:t xml:space="preserve"> and </w:t>
      </w:r>
      <w:r w:rsidR="21022410">
        <w:t xml:space="preserve">as such, </w:t>
      </w:r>
      <w:r w:rsidR="2B7F6266">
        <w:t xml:space="preserve">seen as </w:t>
      </w:r>
      <w:r w:rsidR="7755AAC7">
        <w:t>instrumental</w:t>
      </w:r>
      <w:r w:rsidR="00C4394E">
        <w:t xml:space="preserve"> for Haaga-Helia</w:t>
      </w:r>
      <w:r w:rsidR="7A610FF9">
        <w:t xml:space="preserve">: </w:t>
      </w:r>
      <w:r w:rsidR="7755AAC7">
        <w:t xml:space="preserve">the </w:t>
      </w:r>
      <w:r w:rsidR="00C4394E">
        <w:t xml:space="preserve">societal </w:t>
      </w:r>
      <w:r w:rsidR="7755AAC7">
        <w:t>impact of applied research that Haaga-Helia</w:t>
      </w:r>
      <w:r w:rsidR="1A56AF85">
        <w:t xml:space="preserve"> does </w:t>
      </w:r>
      <w:r w:rsidR="20766271">
        <w:t xml:space="preserve">is </w:t>
      </w:r>
      <w:r w:rsidR="00DF281A">
        <w:t xml:space="preserve">extensive, </w:t>
      </w:r>
      <w:r w:rsidR="20766271">
        <w:t xml:space="preserve">and qualitative evaluation enables </w:t>
      </w:r>
      <w:r w:rsidR="00814A9C">
        <w:t xml:space="preserve">presenting the broader spectrum of impact than </w:t>
      </w:r>
      <w:r w:rsidR="00AD74A9">
        <w:t xml:space="preserve">using only </w:t>
      </w:r>
      <w:r w:rsidR="00814A9C">
        <w:t>traditional assessment methods</w:t>
      </w:r>
      <w:r w:rsidR="004C48F2">
        <w:t xml:space="preserve"> </w:t>
      </w:r>
      <w:r w:rsidR="00AD74A9">
        <w:t xml:space="preserve">would </w:t>
      </w:r>
      <w:r w:rsidR="004C48F2">
        <w:t>enable</w:t>
      </w:r>
      <w:r w:rsidR="02F24A35">
        <w:t xml:space="preserve">. </w:t>
      </w:r>
    </w:p>
    <w:p w14:paraId="6FF99188" w14:textId="77777777" w:rsidR="008808E1" w:rsidRDefault="004C48F2">
      <w:r>
        <w:t>In general, t</w:t>
      </w:r>
      <w:r w:rsidR="00AE0F3A">
        <w:t xml:space="preserve">he aims of </w:t>
      </w:r>
      <w:proofErr w:type="spellStart"/>
      <w:r w:rsidR="00180810">
        <w:t>CoARA</w:t>
      </w:r>
      <w:proofErr w:type="spellEnd"/>
      <w:r w:rsidR="00180810">
        <w:t xml:space="preserve"> were</w:t>
      </w:r>
      <w:r w:rsidR="00AE0F3A">
        <w:t xml:space="preserve"> seen closely intertwined with </w:t>
      </w:r>
      <w:r w:rsidR="005769F5">
        <w:t xml:space="preserve">those </w:t>
      </w:r>
      <w:r w:rsidR="00AE0F3A">
        <w:t xml:space="preserve">of </w:t>
      </w:r>
      <w:r w:rsidR="0080683C">
        <w:t>HRS4R</w:t>
      </w:r>
      <w:r w:rsidR="00AE0F3A">
        <w:t xml:space="preserve">. </w:t>
      </w:r>
      <w:r w:rsidR="002329B5">
        <w:t>As an example, i</w:t>
      </w:r>
      <w:r w:rsidR="6B21D193">
        <w:t>n Haaga Helia</w:t>
      </w:r>
      <w:r w:rsidR="002329B5">
        <w:t>,</w:t>
      </w:r>
      <w:r w:rsidR="6B21D193">
        <w:t xml:space="preserve"> the process</w:t>
      </w:r>
      <w:r w:rsidR="002329B5">
        <w:t xml:space="preserve"> of introducing </w:t>
      </w:r>
      <w:proofErr w:type="spellStart"/>
      <w:r w:rsidR="002329B5">
        <w:t>CoARA</w:t>
      </w:r>
      <w:proofErr w:type="spellEnd"/>
      <w:r w:rsidR="6B21D193">
        <w:t xml:space="preserve"> went in parallel with the adoption of the HRS4R – a comprehensive EU compliance action at this Finnish university. </w:t>
      </w:r>
    </w:p>
    <w:p w14:paraId="5450F1C3" w14:textId="77777777" w:rsidR="6B21D193" w:rsidRDefault="0080683C" w:rsidP="1A96B757">
      <w:pPr>
        <w:rPr>
          <w:rFonts w:ascii="Calibri" w:eastAsia="Calibri" w:hAnsi="Calibri" w:cs="Calibri"/>
          <w:lang w:val="sr"/>
        </w:rPr>
      </w:pPr>
      <w:r>
        <w:t xml:space="preserve">In all </w:t>
      </w:r>
      <w:r w:rsidR="00A9515C">
        <w:t>alliance partner universities, t</w:t>
      </w:r>
      <w:r w:rsidR="6B21D193">
        <w:t>he discussions are still evolving about the appropriate metrics and ways how to implement qualitative research assessment.</w:t>
      </w:r>
      <w:r w:rsidR="755FBE77">
        <w:t xml:space="preserve"> In the workshop it was discussed that i</w:t>
      </w:r>
      <w:r w:rsidR="2E54E417" w:rsidRPr="1A96B757">
        <w:rPr>
          <w:rFonts w:ascii="Calibri" w:eastAsia="Calibri" w:hAnsi="Calibri" w:cs="Calibri"/>
          <w:lang w:val="sr"/>
        </w:rPr>
        <w:t>n t</w:t>
      </w:r>
      <w:r w:rsidR="6A39F455" w:rsidRPr="1A96B757">
        <w:rPr>
          <w:rFonts w:ascii="Calibri" w:eastAsia="Calibri" w:hAnsi="Calibri" w:cs="Calibri"/>
          <w:lang w:val="sr"/>
        </w:rPr>
        <w:t>oday’s</w:t>
      </w:r>
      <w:r w:rsidR="2E54E417" w:rsidRPr="1A96B757">
        <w:rPr>
          <w:rFonts w:ascii="Calibri" w:eastAsia="Calibri" w:hAnsi="Calibri" w:cs="Calibri"/>
          <w:lang w:val="sr"/>
        </w:rPr>
        <w:t xml:space="preserve"> evolving landscape, alignment with initiatives </w:t>
      </w:r>
      <w:r w:rsidR="2E54E417" w:rsidRPr="00A9515C">
        <w:rPr>
          <w:rFonts w:ascii="Calibri" w:eastAsia="Calibri" w:hAnsi="Calibri" w:cs="Calibri"/>
          <w:lang w:val="sr"/>
        </w:rPr>
        <w:t xml:space="preserve">like CoARA </w:t>
      </w:r>
      <w:r w:rsidR="764473C5" w:rsidRPr="00A9515C">
        <w:rPr>
          <w:rFonts w:ascii="Calibri" w:eastAsia="Calibri" w:hAnsi="Calibri" w:cs="Calibri"/>
          <w:lang w:val="sr"/>
        </w:rPr>
        <w:t>offer</w:t>
      </w:r>
      <w:r w:rsidR="764473C5" w:rsidRPr="1A96B757">
        <w:rPr>
          <w:rFonts w:ascii="Calibri" w:eastAsia="Calibri" w:hAnsi="Calibri" w:cs="Calibri"/>
          <w:lang w:val="sr"/>
        </w:rPr>
        <w:t xml:space="preserve"> possibilities </w:t>
      </w:r>
      <w:r w:rsidR="03B3A861" w:rsidRPr="1A96B757">
        <w:rPr>
          <w:rFonts w:ascii="Calibri" w:eastAsia="Calibri" w:hAnsi="Calibri" w:cs="Calibri"/>
          <w:lang w:val="sr"/>
        </w:rPr>
        <w:t xml:space="preserve">for universities </w:t>
      </w:r>
      <w:r w:rsidR="764473C5" w:rsidRPr="1A96B757">
        <w:rPr>
          <w:rFonts w:ascii="Calibri" w:eastAsia="Calibri" w:hAnsi="Calibri" w:cs="Calibri"/>
          <w:lang w:val="sr"/>
        </w:rPr>
        <w:t>to</w:t>
      </w:r>
      <w:r w:rsidR="0DAA0E11" w:rsidRPr="1A96B757">
        <w:rPr>
          <w:rFonts w:ascii="Calibri" w:eastAsia="Calibri" w:hAnsi="Calibri" w:cs="Calibri"/>
          <w:lang w:val="sr"/>
        </w:rPr>
        <w:t xml:space="preserve"> further</w:t>
      </w:r>
      <w:r w:rsidR="764473C5" w:rsidRPr="1A96B757">
        <w:rPr>
          <w:rFonts w:ascii="Calibri" w:eastAsia="Calibri" w:hAnsi="Calibri" w:cs="Calibri"/>
          <w:lang w:val="sr"/>
        </w:rPr>
        <w:t xml:space="preserve"> collaborate in developing research and researcher assessment</w:t>
      </w:r>
      <w:r w:rsidR="00A9515C">
        <w:rPr>
          <w:rFonts w:ascii="Calibri" w:eastAsia="Calibri" w:hAnsi="Calibri" w:cs="Calibri"/>
          <w:lang w:val="sr"/>
        </w:rPr>
        <w:t xml:space="preserve"> together</w:t>
      </w:r>
      <w:r w:rsidR="005769F5">
        <w:rPr>
          <w:rFonts w:ascii="Calibri" w:eastAsia="Calibri" w:hAnsi="Calibri" w:cs="Calibri"/>
          <w:lang w:val="sr"/>
        </w:rPr>
        <w:t>, for which the European university alliance Ulysseus can offer an appropriate framework and ground for joint action</w:t>
      </w:r>
      <w:r w:rsidR="7BCFAC48" w:rsidRPr="1A96B757">
        <w:rPr>
          <w:rFonts w:ascii="Calibri" w:eastAsia="Calibri" w:hAnsi="Calibri" w:cs="Calibri"/>
          <w:lang w:val="sr"/>
        </w:rPr>
        <w:t xml:space="preserve">. </w:t>
      </w:r>
    </w:p>
    <w:p w14:paraId="40579A49" w14:textId="77777777" w:rsidR="4E187EB3" w:rsidRDefault="4E187EB3" w:rsidP="1A96B757">
      <w:pPr>
        <w:pStyle w:val="Heading2"/>
        <w:rPr>
          <w:rFonts w:ascii="Calibri" w:eastAsia="Calibri" w:hAnsi="Calibri" w:cs="Calibri"/>
          <w:sz w:val="22"/>
          <w:szCs w:val="22"/>
          <w:lang w:val="sr"/>
        </w:rPr>
      </w:pPr>
      <w:r w:rsidRPr="1A96B757">
        <w:rPr>
          <w:lang w:val="sr"/>
        </w:rPr>
        <w:lastRenderedPageBreak/>
        <w:t>HRS4R and talent alignment</w:t>
      </w:r>
    </w:p>
    <w:p w14:paraId="7BC6B131" w14:textId="77777777" w:rsidR="4E187EB3" w:rsidRDefault="4E187EB3" w:rsidP="1A96B757">
      <w:pPr>
        <w:spacing w:before="240" w:after="240"/>
        <w:rPr>
          <w:rFonts w:ascii="Calibri" w:eastAsia="Calibri" w:hAnsi="Calibri" w:cs="Calibri"/>
          <w:lang w:val="en-US"/>
        </w:rPr>
      </w:pPr>
      <w:r w:rsidRPr="1A96B757">
        <w:rPr>
          <w:rFonts w:ascii="Calibri" w:eastAsia="Calibri" w:hAnsi="Calibri" w:cs="Calibri"/>
          <w:lang w:val="en-US"/>
        </w:rPr>
        <w:t>The second part of the workshop explored the effects and importance of HRS4R</w:t>
      </w:r>
      <w:r w:rsidR="002E0F8F">
        <w:rPr>
          <w:rFonts w:ascii="Calibri" w:eastAsia="Calibri" w:hAnsi="Calibri" w:cs="Calibri"/>
          <w:lang w:val="en-US"/>
        </w:rPr>
        <w:t xml:space="preserve"> (</w:t>
      </w:r>
      <w:hyperlink r:id="rId14" w:history="1">
        <w:r w:rsidR="002E0F8F" w:rsidRPr="002E0F8F">
          <w:rPr>
            <w:rStyle w:val="Hyperlink"/>
            <w:rFonts w:ascii="Calibri" w:eastAsia="Calibri" w:hAnsi="Calibri" w:cs="Calibri"/>
          </w:rPr>
          <w:t>HR Excellence in Research award | EURAXESS</w:t>
        </w:r>
      </w:hyperlink>
      <w:r w:rsidR="002E0F8F">
        <w:rPr>
          <w:rFonts w:ascii="Calibri" w:eastAsia="Calibri" w:hAnsi="Calibri" w:cs="Calibri"/>
          <w:lang w:val="en-US"/>
        </w:rPr>
        <w:t>, 2025)</w:t>
      </w:r>
      <w:r w:rsidRPr="1A96B757">
        <w:rPr>
          <w:rFonts w:ascii="Calibri" w:eastAsia="Calibri" w:hAnsi="Calibri" w:cs="Calibri"/>
          <w:lang w:val="en-US"/>
        </w:rPr>
        <w:t xml:space="preserve">. </w:t>
      </w:r>
      <w:r w:rsidR="688BD64D" w:rsidRPr="1A96B757">
        <w:rPr>
          <w:rFonts w:ascii="Calibri" w:eastAsia="Calibri" w:hAnsi="Calibri" w:cs="Calibri"/>
          <w:lang w:val="en-US"/>
        </w:rPr>
        <w:t xml:space="preserve">The HR Excellence in Research award is granted by </w:t>
      </w:r>
      <w:r w:rsidR="48F699DC" w:rsidRPr="1A96B757">
        <w:rPr>
          <w:rFonts w:ascii="Calibri" w:eastAsia="Calibri" w:hAnsi="Calibri" w:cs="Calibri"/>
          <w:lang w:val="en-US"/>
        </w:rPr>
        <w:t>the E</w:t>
      </w:r>
      <w:r w:rsidR="00355695">
        <w:rPr>
          <w:rFonts w:ascii="Calibri" w:eastAsia="Calibri" w:hAnsi="Calibri" w:cs="Calibri"/>
          <w:lang w:val="en-US"/>
        </w:rPr>
        <w:t xml:space="preserve">uropean </w:t>
      </w:r>
      <w:r w:rsidR="00120652">
        <w:rPr>
          <w:rFonts w:ascii="Calibri" w:eastAsia="Calibri" w:hAnsi="Calibri" w:cs="Calibri"/>
          <w:lang w:val="en-US"/>
        </w:rPr>
        <w:t>Commission</w:t>
      </w:r>
      <w:r w:rsidR="688BD64D" w:rsidRPr="1A96B757">
        <w:rPr>
          <w:rFonts w:ascii="Calibri" w:eastAsia="Calibri" w:hAnsi="Calibri" w:cs="Calibri"/>
          <w:lang w:val="en-US"/>
        </w:rPr>
        <w:t xml:space="preserve"> to institutions that demonstrate ongoing commitment to implementing the principles of the European Charter for Researchers </w:t>
      </w:r>
      <w:r w:rsidR="00884DAD">
        <w:rPr>
          <w:rFonts w:ascii="Calibri" w:eastAsia="Calibri" w:hAnsi="Calibri" w:cs="Calibri"/>
          <w:lang w:val="en-US"/>
        </w:rPr>
        <w:t>(</w:t>
      </w:r>
      <w:hyperlink r:id="rId15" w:history="1">
        <w:r w:rsidR="00884DAD">
          <w:rPr>
            <w:rStyle w:val="Hyperlink"/>
            <w:rFonts w:eastAsiaTheme="minorEastAsia"/>
          </w:rPr>
          <w:t>European Charter for Researchers</w:t>
        </w:r>
      </w:hyperlink>
      <w:r w:rsidR="00884DAD">
        <w:rPr>
          <w:rFonts w:eastAsiaTheme="minorEastAsia"/>
        </w:rPr>
        <w:t>, 202</w:t>
      </w:r>
      <w:r w:rsidR="00217ECD">
        <w:rPr>
          <w:rFonts w:eastAsiaTheme="minorEastAsia"/>
        </w:rPr>
        <w:t>3</w:t>
      </w:r>
      <w:r w:rsidR="00884DAD">
        <w:rPr>
          <w:rFonts w:eastAsiaTheme="minorEastAsia"/>
        </w:rPr>
        <w:t xml:space="preserve">) </w:t>
      </w:r>
      <w:r w:rsidR="688BD64D" w:rsidRPr="1A96B757">
        <w:rPr>
          <w:rFonts w:ascii="Calibri" w:eastAsia="Calibri" w:hAnsi="Calibri" w:cs="Calibri"/>
          <w:lang w:val="en-US"/>
        </w:rPr>
        <w:t xml:space="preserve">through their policies and practices. It offers </w:t>
      </w:r>
      <w:r w:rsidR="719CFAC4" w:rsidRPr="1A96B757">
        <w:rPr>
          <w:rFonts w:ascii="Calibri" w:eastAsia="Calibri" w:hAnsi="Calibri" w:cs="Calibri"/>
          <w:lang w:val="en-US"/>
        </w:rPr>
        <w:t xml:space="preserve">a structured pathway for universities to improve working conditions and gain international visibility. </w:t>
      </w:r>
      <w:r w:rsidR="00D13F74">
        <w:t>By adopting the HRS4R standards, European universities signal their commitment to making research careers more attractive and sustainable, which helps them attract top talent globally. HRS4R can also affect rankings and funding prospects, because funders and evaluation frameworks increasingly value metrics related to talent attraction, career development, and staff support, and improvements in career conditions are among the most visible ways a university can distinguish itself in a competitive higher education landscape.</w:t>
      </w:r>
    </w:p>
    <w:p w14:paraId="10889A5E" w14:textId="77777777" w:rsidR="003D6577" w:rsidRDefault="37FF23B1" w:rsidP="003D6577">
      <w:pPr>
        <w:spacing w:before="240" w:after="240"/>
        <w:rPr>
          <w:rFonts w:eastAsiaTheme="minorEastAsia"/>
          <w:lang w:val="sr"/>
        </w:rPr>
      </w:pPr>
      <w:r w:rsidRPr="1A96B757">
        <w:rPr>
          <w:rFonts w:eastAsiaTheme="minorEastAsia"/>
          <w:lang w:val="en-US"/>
        </w:rPr>
        <w:t xml:space="preserve">In the workshop, </w:t>
      </w:r>
      <w:r w:rsidR="00D13F74">
        <w:rPr>
          <w:rFonts w:eastAsiaTheme="minorEastAsia"/>
          <w:lang w:val="sr"/>
        </w:rPr>
        <w:t xml:space="preserve">representatives </w:t>
      </w:r>
      <w:r w:rsidR="03BE2ABA" w:rsidRPr="1A96B757">
        <w:rPr>
          <w:rFonts w:eastAsiaTheme="minorEastAsia"/>
          <w:lang w:val="sr"/>
        </w:rPr>
        <w:t>from Technical Un</w:t>
      </w:r>
      <w:r w:rsidR="7690D17B" w:rsidRPr="1A96B757">
        <w:rPr>
          <w:rFonts w:eastAsiaTheme="minorEastAsia"/>
          <w:lang w:val="sr"/>
        </w:rPr>
        <w:t>iversity of Ko</w:t>
      </w:r>
      <w:r w:rsidR="2A8A4732" w:rsidRPr="1A96B757">
        <w:rPr>
          <w:rFonts w:eastAsiaTheme="minorEastAsia"/>
          <w:lang w:val="sr-Latn-ME"/>
        </w:rPr>
        <w:t>š</w:t>
      </w:r>
      <w:r w:rsidR="7690D17B" w:rsidRPr="1A96B757">
        <w:rPr>
          <w:rFonts w:eastAsiaTheme="minorEastAsia"/>
          <w:lang w:val="sr"/>
        </w:rPr>
        <w:t>ice (</w:t>
      </w:r>
      <w:r w:rsidR="03BE2ABA" w:rsidRPr="1A96B757">
        <w:rPr>
          <w:rFonts w:eastAsiaTheme="minorEastAsia"/>
          <w:lang w:val="sr"/>
        </w:rPr>
        <w:t>TUKE</w:t>
      </w:r>
      <w:r w:rsidR="58CD0F99" w:rsidRPr="1A96B757">
        <w:rPr>
          <w:rFonts w:eastAsiaTheme="minorEastAsia"/>
          <w:lang w:val="sr"/>
        </w:rPr>
        <w:t>)</w:t>
      </w:r>
      <w:r w:rsidR="00075369">
        <w:rPr>
          <w:rFonts w:eastAsiaTheme="minorEastAsia"/>
          <w:lang w:val="sr"/>
        </w:rPr>
        <w:t xml:space="preserve">, </w:t>
      </w:r>
      <w:r w:rsidR="00075369" w:rsidRPr="00F526EC">
        <w:rPr>
          <w:rFonts w:eastAsiaTheme="minorEastAsia"/>
          <w:b/>
        </w:rPr>
        <w:t>Daniela Hadačova and Marek Pekarčik</w:t>
      </w:r>
      <w:r w:rsidR="00075369">
        <w:rPr>
          <w:rFonts w:eastAsiaTheme="minorEastAsia"/>
        </w:rPr>
        <w:t xml:space="preserve">, </w:t>
      </w:r>
      <w:r w:rsidR="03BE2ABA" w:rsidRPr="1A96B757">
        <w:rPr>
          <w:rFonts w:eastAsiaTheme="minorEastAsia"/>
          <w:lang w:val="sr"/>
        </w:rPr>
        <w:t xml:space="preserve">presented </w:t>
      </w:r>
      <w:r w:rsidR="00D13F74">
        <w:rPr>
          <w:rFonts w:eastAsiaTheme="minorEastAsia"/>
          <w:lang w:val="sr"/>
        </w:rPr>
        <w:t>their case of impleme</w:t>
      </w:r>
      <w:r w:rsidR="0025626C">
        <w:rPr>
          <w:rFonts w:eastAsiaTheme="minorEastAsia"/>
          <w:lang w:val="sr"/>
        </w:rPr>
        <w:t>nting the EURAXESS service centre</w:t>
      </w:r>
      <w:r w:rsidR="00D13F74">
        <w:rPr>
          <w:rFonts w:eastAsiaTheme="minorEastAsia"/>
          <w:lang w:val="sr"/>
        </w:rPr>
        <w:t xml:space="preserve"> as a strong pillar of </w:t>
      </w:r>
      <w:r w:rsidR="00075369">
        <w:rPr>
          <w:rFonts w:eastAsiaTheme="minorEastAsia"/>
          <w:lang w:val="sr"/>
        </w:rPr>
        <w:t xml:space="preserve">TUKE's </w:t>
      </w:r>
      <w:r w:rsidR="00D13F74">
        <w:rPr>
          <w:rFonts w:eastAsiaTheme="minorEastAsia"/>
          <w:lang w:val="sr"/>
        </w:rPr>
        <w:t>enhanced internationalisatio</w:t>
      </w:r>
      <w:r w:rsidR="003D6577">
        <w:rPr>
          <w:rFonts w:eastAsiaTheme="minorEastAsia"/>
          <w:lang w:val="sr"/>
        </w:rPr>
        <w:t>n strategy</w:t>
      </w:r>
      <w:r w:rsidR="00075369">
        <w:rPr>
          <w:rFonts w:eastAsiaTheme="minorEastAsia"/>
          <w:lang w:val="sr"/>
        </w:rPr>
        <w:t xml:space="preserve">, </w:t>
      </w:r>
      <w:r w:rsidR="00075369">
        <w:rPr>
          <w:rFonts w:eastAsiaTheme="minorEastAsia"/>
        </w:rPr>
        <w:t xml:space="preserve">strengthening research </w:t>
      </w:r>
      <w:r w:rsidR="00075369" w:rsidRPr="006213FB">
        <w:rPr>
          <w:rFonts w:eastAsiaTheme="minorEastAsia"/>
        </w:rPr>
        <w:t>and supporting career development and talent attraction</w:t>
      </w:r>
      <w:r w:rsidR="003D6577">
        <w:rPr>
          <w:rFonts w:eastAsiaTheme="minorEastAsia"/>
          <w:lang w:val="sr"/>
        </w:rPr>
        <w:t>. Namely, TUKE has a v</w:t>
      </w:r>
      <w:r w:rsidR="00D13F74">
        <w:rPr>
          <w:rFonts w:eastAsiaTheme="minorEastAsia"/>
          <w:lang w:val="sr"/>
        </w:rPr>
        <w:t xml:space="preserve">ast international student community, integrating around 40% of foreign students, and the </w:t>
      </w:r>
      <w:r w:rsidR="003D6577">
        <w:rPr>
          <w:rFonts w:eastAsiaTheme="minorEastAsia"/>
          <w:lang w:val="sr"/>
        </w:rPr>
        <w:t xml:space="preserve">growth of their EURAXESS centre has provided a structured framework to support all the </w:t>
      </w:r>
      <w:r w:rsidR="04208A36" w:rsidRPr="1A96B757">
        <w:rPr>
          <w:rFonts w:eastAsiaTheme="minorEastAsia"/>
          <w:lang w:val="sr"/>
        </w:rPr>
        <w:t xml:space="preserve">requirements </w:t>
      </w:r>
      <w:r w:rsidR="003D6577">
        <w:rPr>
          <w:rFonts w:eastAsiaTheme="minorEastAsia"/>
          <w:lang w:val="sr"/>
        </w:rPr>
        <w:t xml:space="preserve">for better integration of incoming teachers and students. </w:t>
      </w:r>
      <w:r w:rsidR="003D6577">
        <w:rPr>
          <w:rFonts w:eastAsiaTheme="minorEastAsia"/>
        </w:rPr>
        <w:t xml:space="preserve">TUKE does not have </w:t>
      </w:r>
      <w:r w:rsidR="0025626C">
        <w:rPr>
          <w:rFonts w:eastAsiaTheme="minorEastAsia"/>
        </w:rPr>
        <w:t xml:space="preserve">the </w:t>
      </w:r>
      <w:r w:rsidR="003D6577">
        <w:rPr>
          <w:rFonts w:eastAsiaTheme="minorEastAsia"/>
        </w:rPr>
        <w:t>Excellence in Research Award yet</w:t>
      </w:r>
      <w:r w:rsidR="00001B46">
        <w:rPr>
          <w:rFonts w:eastAsiaTheme="minorEastAsia"/>
        </w:rPr>
        <w:t xml:space="preserve">, so that the workshop was an occasion for them to learn about its benefits and processes. </w:t>
      </w:r>
      <w:r w:rsidR="003D6577">
        <w:rPr>
          <w:rFonts w:eastAsiaTheme="minorEastAsia"/>
        </w:rPr>
        <w:t xml:space="preserve"> </w:t>
      </w:r>
    </w:p>
    <w:p w14:paraId="6396BB79" w14:textId="77777777" w:rsidR="00001B46" w:rsidRDefault="00E46DA9" w:rsidP="1A96B757">
      <w:pPr>
        <w:spacing w:before="240" w:after="240"/>
        <w:rPr>
          <w:rFonts w:eastAsiaTheme="minorEastAsia"/>
        </w:rPr>
      </w:pPr>
      <w:r w:rsidRPr="00F526EC">
        <w:rPr>
          <w:rFonts w:eastAsiaTheme="minorEastAsia"/>
          <w:b/>
        </w:rPr>
        <w:t>Branka Zizic</w:t>
      </w:r>
      <w:r>
        <w:rPr>
          <w:rFonts w:eastAsiaTheme="minorEastAsia"/>
        </w:rPr>
        <w:t xml:space="preserve"> from University of Montenegro</w:t>
      </w:r>
      <w:r w:rsidR="00001B46">
        <w:rPr>
          <w:rFonts w:eastAsiaTheme="minorEastAsia"/>
        </w:rPr>
        <w:t xml:space="preserve"> (UoM)</w:t>
      </w:r>
      <w:r>
        <w:rPr>
          <w:rFonts w:eastAsiaTheme="minorEastAsia"/>
        </w:rPr>
        <w:t xml:space="preserve"> </w:t>
      </w:r>
      <w:r w:rsidR="00080CC6">
        <w:rPr>
          <w:rFonts w:eastAsiaTheme="minorEastAsia"/>
        </w:rPr>
        <w:t xml:space="preserve">presented </w:t>
      </w:r>
      <w:r w:rsidR="00001B46">
        <w:rPr>
          <w:rFonts w:eastAsiaTheme="minorEastAsia"/>
        </w:rPr>
        <w:t xml:space="preserve">in detail </w:t>
      </w:r>
      <w:r w:rsidR="004206F2">
        <w:rPr>
          <w:rFonts w:eastAsiaTheme="minorEastAsia"/>
        </w:rPr>
        <w:t xml:space="preserve">their experiences in </w:t>
      </w:r>
      <w:r w:rsidR="00001B46">
        <w:rPr>
          <w:rFonts w:eastAsiaTheme="minorEastAsia"/>
        </w:rPr>
        <w:t xml:space="preserve">developing and implementing </w:t>
      </w:r>
      <w:r w:rsidR="005E2A95">
        <w:rPr>
          <w:rFonts w:eastAsiaTheme="minorEastAsia"/>
        </w:rPr>
        <w:t>HRS4R.</w:t>
      </w:r>
      <w:r w:rsidR="007C25AD">
        <w:rPr>
          <w:rFonts w:eastAsiaTheme="minorEastAsia"/>
        </w:rPr>
        <w:t xml:space="preserve"> </w:t>
      </w:r>
      <w:r w:rsidR="00001B46">
        <w:rPr>
          <w:rFonts w:eastAsiaTheme="minorEastAsia"/>
        </w:rPr>
        <w:t xml:space="preserve">Although a non-EU country, Montenegro has started its integration with EURAXESS initiative already in 2009. With some breaks due to varying priorities of the leadership, the adoption of HRS4R was completed in 2019 and the logo was first awarded in 2020. The university is currently in the </w:t>
      </w:r>
      <w:r w:rsidR="00075369">
        <w:rPr>
          <w:rFonts w:eastAsiaTheme="minorEastAsia"/>
        </w:rPr>
        <w:t>award renewal phase. T</w:t>
      </w:r>
      <w:r w:rsidR="00982F2A">
        <w:rPr>
          <w:rFonts w:eastAsiaTheme="minorEastAsia"/>
        </w:rPr>
        <w:t>he presentation showed the areas of significant improvement and adoption of EU standards and values, such as ethics, equality and inclusion, merit based promotion and English taught programmes</w:t>
      </w:r>
      <w:r w:rsidR="00001B46">
        <w:rPr>
          <w:rFonts w:eastAsiaTheme="minorEastAsia"/>
        </w:rPr>
        <w:t xml:space="preserve">. </w:t>
      </w:r>
    </w:p>
    <w:p w14:paraId="28A2FB0F" w14:textId="38A51AB5" w:rsidR="00856F8E" w:rsidRPr="00F32C54" w:rsidRDefault="0025626C" w:rsidP="00856F8E">
      <w:pPr>
        <w:spacing w:before="240" w:after="240"/>
        <w:rPr>
          <w:rFonts w:eastAsiaTheme="minorEastAsia"/>
          <w:color w:val="000000" w:themeColor="text1"/>
        </w:rPr>
      </w:pPr>
      <w:r>
        <w:rPr>
          <w:rFonts w:eastAsiaTheme="minorEastAsia"/>
        </w:rPr>
        <w:t xml:space="preserve">The case of HRS4R from the University Cote d’ Azur was presented by </w:t>
      </w:r>
      <w:r w:rsidR="00856F8E" w:rsidRPr="00F32C54">
        <w:rPr>
          <w:rFonts w:eastAsiaTheme="minorEastAsia"/>
          <w:b/>
          <w:color w:val="000000" w:themeColor="text1"/>
        </w:rPr>
        <w:t>J</w:t>
      </w:r>
      <w:r w:rsidR="008B6D11" w:rsidRPr="00F32C54">
        <w:rPr>
          <w:rFonts w:eastAsiaTheme="minorEastAsia"/>
          <w:b/>
          <w:color w:val="000000" w:themeColor="text1"/>
        </w:rPr>
        <w:t>ea</w:t>
      </w:r>
      <w:r w:rsidR="00856F8E" w:rsidRPr="00F32C54">
        <w:rPr>
          <w:rFonts w:eastAsiaTheme="minorEastAsia"/>
          <w:b/>
          <w:color w:val="000000" w:themeColor="text1"/>
        </w:rPr>
        <w:t>n</w:t>
      </w:r>
      <w:r w:rsidR="00856F8E" w:rsidRPr="00F526EC">
        <w:rPr>
          <w:rFonts w:eastAsiaTheme="minorEastAsia"/>
          <w:b/>
        </w:rPr>
        <w:t xml:space="preserve"> Baptiste Nicolas</w:t>
      </w:r>
      <w:r w:rsidR="00856F8E" w:rsidRPr="006213FB">
        <w:rPr>
          <w:rFonts w:eastAsiaTheme="minorEastAsia"/>
        </w:rPr>
        <w:t>, project manager at UNICA</w:t>
      </w:r>
      <w:r w:rsidR="00856F8E">
        <w:rPr>
          <w:rFonts w:eastAsiaTheme="minorEastAsia"/>
        </w:rPr>
        <w:t xml:space="preserve">. </w:t>
      </w:r>
      <w:r>
        <w:rPr>
          <w:rFonts w:eastAsiaTheme="minorEastAsia"/>
        </w:rPr>
        <w:t xml:space="preserve">This member of Ulysseus has strategically aligned its development strategies with the European standard, reaching significant results in talent attraction. </w:t>
      </w:r>
      <w:r w:rsidR="00856F8E">
        <w:rPr>
          <w:rFonts w:eastAsiaTheme="minorEastAsia"/>
        </w:rPr>
        <w:t xml:space="preserve">Some of the key benefits mentioned were the increase in </w:t>
      </w:r>
      <w:r w:rsidR="00856F8E" w:rsidRPr="006213FB">
        <w:rPr>
          <w:rFonts w:eastAsiaTheme="minorEastAsia"/>
        </w:rPr>
        <w:t xml:space="preserve">the visibility of </w:t>
      </w:r>
      <w:r w:rsidR="00856F8E">
        <w:rPr>
          <w:rFonts w:eastAsiaTheme="minorEastAsia"/>
        </w:rPr>
        <w:t xml:space="preserve">university job </w:t>
      </w:r>
      <w:r w:rsidR="00856F8E" w:rsidRPr="006213FB">
        <w:rPr>
          <w:rFonts w:eastAsiaTheme="minorEastAsia"/>
        </w:rPr>
        <w:t xml:space="preserve">offers </w:t>
      </w:r>
      <w:r w:rsidR="00856F8E">
        <w:rPr>
          <w:rFonts w:eastAsiaTheme="minorEastAsia"/>
        </w:rPr>
        <w:t xml:space="preserve">using open, transparent and merit-based practices enhanced through </w:t>
      </w:r>
      <w:proofErr w:type="spellStart"/>
      <w:r w:rsidR="00856F8E">
        <w:rPr>
          <w:rFonts w:eastAsiaTheme="minorEastAsia"/>
        </w:rPr>
        <w:t>Euraxess</w:t>
      </w:r>
      <w:proofErr w:type="spellEnd"/>
      <w:r w:rsidR="00856F8E">
        <w:rPr>
          <w:rFonts w:eastAsiaTheme="minorEastAsia"/>
        </w:rPr>
        <w:t xml:space="preserve"> portal, </w:t>
      </w:r>
      <w:r w:rsidR="00856F8E" w:rsidRPr="006213FB">
        <w:rPr>
          <w:rFonts w:eastAsiaTheme="minorEastAsia"/>
        </w:rPr>
        <w:t>by 20-30%</w:t>
      </w:r>
      <w:r w:rsidR="00856F8E">
        <w:rPr>
          <w:rFonts w:eastAsiaTheme="minorEastAsia"/>
        </w:rPr>
        <w:t xml:space="preserve">. </w:t>
      </w:r>
      <w:r w:rsidR="00856F8E" w:rsidRPr="006213FB">
        <w:rPr>
          <w:rFonts w:eastAsiaTheme="minorEastAsia"/>
        </w:rPr>
        <w:t xml:space="preserve"> </w:t>
      </w:r>
      <w:r w:rsidR="00856F8E">
        <w:rPr>
          <w:rFonts w:eastAsiaTheme="minorEastAsia"/>
        </w:rPr>
        <w:t xml:space="preserve">UNICA has also evidenced that </w:t>
      </w:r>
      <w:r w:rsidR="00856F8E" w:rsidRPr="006213FB">
        <w:rPr>
          <w:rFonts w:eastAsiaTheme="minorEastAsia"/>
        </w:rPr>
        <w:t xml:space="preserve">HR </w:t>
      </w:r>
      <w:r w:rsidR="00856F8E">
        <w:rPr>
          <w:rFonts w:eastAsiaTheme="minorEastAsia"/>
        </w:rPr>
        <w:t xml:space="preserve">policy </w:t>
      </w:r>
      <w:r w:rsidR="00856F8E" w:rsidRPr="006213FB">
        <w:rPr>
          <w:rFonts w:eastAsiaTheme="minorEastAsia"/>
        </w:rPr>
        <w:t>alignment</w:t>
      </w:r>
      <w:r w:rsidR="00856F8E">
        <w:rPr>
          <w:rFonts w:eastAsiaTheme="minorEastAsia"/>
        </w:rPr>
        <w:t xml:space="preserve"> with Charter and Code principles</w:t>
      </w:r>
      <w:r w:rsidR="00856F8E" w:rsidRPr="006213FB">
        <w:rPr>
          <w:rFonts w:eastAsiaTheme="minorEastAsia"/>
        </w:rPr>
        <w:t xml:space="preserve"> improves</w:t>
      </w:r>
      <w:r w:rsidR="00856F8E">
        <w:rPr>
          <w:rFonts w:eastAsiaTheme="minorEastAsia"/>
        </w:rPr>
        <w:t xml:space="preserve"> mobility conditions and integration of incoming researchers, impacting positively</w:t>
      </w:r>
      <w:r w:rsidR="00856F8E" w:rsidRPr="006213FB">
        <w:rPr>
          <w:rFonts w:eastAsiaTheme="minorEastAsia"/>
        </w:rPr>
        <w:t xml:space="preserve"> researcher retention</w:t>
      </w:r>
      <w:r w:rsidR="00856F8E">
        <w:rPr>
          <w:rFonts w:eastAsiaTheme="minorEastAsia"/>
        </w:rPr>
        <w:t>, trust and commitment</w:t>
      </w:r>
      <w:r w:rsidR="00856F8E" w:rsidRPr="008B6D11">
        <w:rPr>
          <w:rFonts w:eastAsiaTheme="minorEastAsia"/>
          <w:i/>
        </w:rPr>
        <w:t xml:space="preserve">. </w:t>
      </w:r>
      <w:r w:rsidR="00A42D83">
        <w:rPr>
          <w:rFonts w:eastAsiaTheme="minorEastAsia"/>
          <w:iCs/>
        </w:rPr>
        <w:t>I</w:t>
      </w:r>
      <w:r w:rsidR="008B6D11" w:rsidRPr="00F32C54">
        <w:rPr>
          <w:rStyle w:val="Emphasis"/>
          <w:bCs/>
          <w:i w:val="0"/>
          <w:color w:val="000000" w:themeColor="text1"/>
        </w:rPr>
        <w:t>mprovements in researcher support, including career development, training opportunities and overall quality of life at work are also produced by the award</w:t>
      </w:r>
      <w:r w:rsidR="008B6D11" w:rsidRPr="008B6D11">
        <w:rPr>
          <w:rStyle w:val="Emphasis"/>
          <w:bCs/>
          <w:i w:val="0"/>
        </w:rPr>
        <w:t>.</w:t>
      </w:r>
      <w:r w:rsidR="008B6D11">
        <w:rPr>
          <w:rFonts w:eastAsiaTheme="minorEastAsia"/>
        </w:rPr>
        <w:t xml:space="preserve"> </w:t>
      </w:r>
      <w:r w:rsidR="00075369">
        <w:rPr>
          <w:rFonts w:eastAsiaTheme="minorEastAsia"/>
        </w:rPr>
        <w:t>Other benefits of the award were</w:t>
      </w:r>
      <w:r w:rsidR="00075369" w:rsidRPr="006213FB">
        <w:rPr>
          <w:rFonts w:eastAsiaTheme="minorEastAsia"/>
        </w:rPr>
        <w:t xml:space="preserve"> structured approach to EDI, open science and ethics,</w:t>
      </w:r>
      <w:r w:rsidR="00075369">
        <w:rPr>
          <w:rFonts w:eastAsiaTheme="minorEastAsia"/>
        </w:rPr>
        <w:t xml:space="preserve"> topics highly relevant also for </w:t>
      </w:r>
      <w:proofErr w:type="spellStart"/>
      <w:r w:rsidR="00075369" w:rsidRPr="006213FB">
        <w:rPr>
          <w:rFonts w:eastAsiaTheme="minorEastAsia"/>
        </w:rPr>
        <w:t>CoARA</w:t>
      </w:r>
      <w:proofErr w:type="spellEnd"/>
      <w:r w:rsidR="00075369" w:rsidRPr="008B6D11">
        <w:rPr>
          <w:rFonts w:eastAsiaTheme="minorEastAsia"/>
          <w:color w:val="00B050"/>
        </w:rPr>
        <w:t>.</w:t>
      </w:r>
      <w:r w:rsidR="008B6D11">
        <w:rPr>
          <w:rFonts w:eastAsiaTheme="minorEastAsia"/>
          <w:color w:val="00B050"/>
        </w:rPr>
        <w:t xml:space="preserve"> </w:t>
      </w:r>
      <w:r w:rsidR="00F32C54" w:rsidRPr="00F32C54">
        <w:rPr>
          <w:rFonts w:eastAsiaTheme="minorEastAsia"/>
          <w:color w:val="000000" w:themeColor="text1"/>
        </w:rPr>
        <w:t>Examples</w:t>
      </w:r>
      <w:r w:rsidR="008B6D11" w:rsidRPr="00F32C54">
        <w:rPr>
          <w:rFonts w:eastAsiaTheme="minorEastAsia"/>
          <w:color w:val="000000" w:themeColor="text1"/>
        </w:rPr>
        <w:t xml:space="preserve"> of other European University alliances were studied.</w:t>
      </w:r>
      <w:r w:rsidR="00075369" w:rsidRPr="00F32C54">
        <w:rPr>
          <w:rFonts w:eastAsiaTheme="minorEastAsia"/>
          <w:color w:val="000000" w:themeColor="text1"/>
        </w:rPr>
        <w:t xml:space="preserve"> </w:t>
      </w:r>
      <w:r w:rsidR="008B6D11" w:rsidRPr="00F32C54">
        <w:rPr>
          <w:color w:val="000000" w:themeColor="text1"/>
        </w:rPr>
        <w:t xml:space="preserve">Adopting HRS4R across the alliance was highlighted as a strategic opportunity to strengthen coherence and visibility at the European level. A coordinated approach allows partners to align recruitment, researcher support and HR policies with shared standards, positioning the alliance as a benchmark employer. The presentation emphasised the value of jointly developed tools, transparency dashboards and harmonised OTM-R procedures, which enhance mobility and comparability between institutions. By pooling governance structures and existing expertise, alliances such as </w:t>
      </w:r>
      <w:proofErr w:type="spellStart"/>
      <w:r w:rsidR="008B6D11" w:rsidRPr="00F32C54">
        <w:rPr>
          <w:color w:val="000000" w:themeColor="text1"/>
        </w:rPr>
        <w:t>Ulysseus</w:t>
      </w:r>
      <w:proofErr w:type="spellEnd"/>
      <w:r w:rsidR="008B6D11" w:rsidRPr="00F32C54">
        <w:rPr>
          <w:color w:val="000000" w:themeColor="text1"/>
        </w:rPr>
        <w:t xml:space="preserve"> can accelerate </w:t>
      </w:r>
      <w:r w:rsidR="008B6D11" w:rsidRPr="00F32C54">
        <w:rPr>
          <w:color w:val="000000" w:themeColor="text1"/>
        </w:rPr>
        <w:lastRenderedPageBreak/>
        <w:t>implementation, promote convergence of practices and reinforce their collective attractiveness to international researchers and funding programmes.</w:t>
      </w:r>
    </w:p>
    <w:p w14:paraId="0F8629B9" w14:textId="761C7995" w:rsidR="37FF23B1" w:rsidRPr="00A0258E" w:rsidRDefault="007C25AD" w:rsidP="005F3EAF">
      <w:pPr>
        <w:spacing w:before="240" w:after="240"/>
        <w:rPr>
          <w:rFonts w:eastAsiaTheme="minorEastAsia"/>
          <w:i/>
          <w:iCs/>
        </w:rPr>
      </w:pPr>
      <w:r>
        <w:rPr>
          <w:rFonts w:eastAsiaTheme="minorEastAsia"/>
        </w:rPr>
        <w:t xml:space="preserve">University of Sevilla </w:t>
      </w:r>
      <w:r w:rsidR="0000599E">
        <w:rPr>
          <w:rFonts w:eastAsiaTheme="minorEastAsia"/>
        </w:rPr>
        <w:t xml:space="preserve">(USE) </w:t>
      </w:r>
      <w:r w:rsidR="00BD7698">
        <w:rPr>
          <w:rFonts w:eastAsiaTheme="minorEastAsia"/>
        </w:rPr>
        <w:t xml:space="preserve">has </w:t>
      </w:r>
      <w:r>
        <w:rPr>
          <w:rFonts w:eastAsiaTheme="minorEastAsia"/>
        </w:rPr>
        <w:t xml:space="preserve">got the </w:t>
      </w:r>
      <w:r w:rsidR="005F3EAF">
        <w:rPr>
          <w:rFonts w:eastAsiaTheme="minorEastAsia"/>
        </w:rPr>
        <w:t xml:space="preserve">HR Excellence Logo </w:t>
      </w:r>
      <w:r w:rsidR="00B60D26">
        <w:rPr>
          <w:rFonts w:eastAsiaTheme="minorEastAsia"/>
        </w:rPr>
        <w:t xml:space="preserve">in February 2025, </w:t>
      </w:r>
      <w:r w:rsidR="00982F2A">
        <w:rPr>
          <w:rFonts w:eastAsiaTheme="minorEastAsia"/>
        </w:rPr>
        <w:t xml:space="preserve">crowning an intensive and dedicated talent attraction policy – </w:t>
      </w:r>
      <w:r w:rsidR="00053788">
        <w:rPr>
          <w:rFonts w:eastAsiaTheme="minorEastAsia"/>
        </w:rPr>
        <w:t xml:space="preserve">as </w:t>
      </w:r>
      <w:r w:rsidR="00982F2A">
        <w:rPr>
          <w:rFonts w:eastAsiaTheme="minorEastAsia"/>
        </w:rPr>
        <w:t xml:space="preserve">it was presented by </w:t>
      </w:r>
      <w:r w:rsidR="00982F2A" w:rsidRPr="00F526EC">
        <w:rPr>
          <w:rFonts w:eastAsiaTheme="minorEastAsia"/>
          <w:b/>
        </w:rPr>
        <w:t>Juan Antonio Caballero</w:t>
      </w:r>
      <w:r w:rsidR="00897965">
        <w:rPr>
          <w:rFonts w:eastAsiaTheme="minorEastAsia"/>
        </w:rPr>
        <w:t>, director of Secretariat for Research at USE</w:t>
      </w:r>
      <w:r w:rsidR="00982F2A">
        <w:rPr>
          <w:rFonts w:eastAsiaTheme="minorEastAsia"/>
        </w:rPr>
        <w:t>. Supported f</w:t>
      </w:r>
      <w:r w:rsidR="005F3EAF">
        <w:rPr>
          <w:rFonts w:eastAsiaTheme="minorEastAsia"/>
        </w:rPr>
        <w:t xml:space="preserve">rom the institutional, regional, </w:t>
      </w:r>
      <w:r w:rsidR="00982F2A">
        <w:rPr>
          <w:rFonts w:eastAsiaTheme="minorEastAsia"/>
        </w:rPr>
        <w:t xml:space="preserve">national </w:t>
      </w:r>
      <w:r w:rsidR="005F3EAF">
        <w:rPr>
          <w:rFonts w:eastAsiaTheme="minorEastAsia"/>
        </w:rPr>
        <w:t xml:space="preserve">and international </w:t>
      </w:r>
      <w:r w:rsidR="00982F2A">
        <w:rPr>
          <w:rFonts w:eastAsiaTheme="minorEastAsia"/>
        </w:rPr>
        <w:t>leve</w:t>
      </w:r>
      <w:r w:rsidR="005F3EAF">
        <w:rPr>
          <w:rFonts w:eastAsiaTheme="minorEastAsia"/>
        </w:rPr>
        <w:t>ls, the policy has</w:t>
      </w:r>
      <w:r w:rsidR="00982F2A">
        <w:rPr>
          <w:rFonts w:eastAsiaTheme="minorEastAsia"/>
        </w:rPr>
        <w:t xml:space="preserve"> a significant investment of </w:t>
      </w:r>
      <w:r w:rsidR="00897965">
        <w:rPr>
          <w:rFonts w:eastAsiaTheme="minorEastAsia"/>
        </w:rPr>
        <w:t xml:space="preserve">almost </w:t>
      </w:r>
      <w:r w:rsidR="00982F2A">
        <w:rPr>
          <w:rFonts w:eastAsiaTheme="minorEastAsia"/>
        </w:rPr>
        <w:t>10M EUR</w:t>
      </w:r>
      <w:r w:rsidR="00BD7698">
        <w:rPr>
          <w:rFonts w:eastAsiaTheme="minorEastAsia"/>
        </w:rPr>
        <w:t xml:space="preserve"> </w:t>
      </w:r>
      <w:r w:rsidR="00897965">
        <w:rPr>
          <w:rFonts w:eastAsiaTheme="minorEastAsia"/>
        </w:rPr>
        <w:t>annually</w:t>
      </w:r>
      <w:r w:rsidR="005F3EAF">
        <w:rPr>
          <w:rFonts w:eastAsiaTheme="minorEastAsia"/>
        </w:rPr>
        <w:t xml:space="preserve">, of which </w:t>
      </w:r>
      <w:r w:rsidR="005F3EAF" w:rsidRPr="005F3EAF">
        <w:rPr>
          <w:rFonts w:eastAsiaTheme="minorEastAsia"/>
        </w:rPr>
        <w:t xml:space="preserve">7.6M related </w:t>
      </w:r>
      <w:r w:rsidR="005F3EAF">
        <w:rPr>
          <w:rFonts w:eastAsiaTheme="minorEastAsia"/>
        </w:rPr>
        <w:t xml:space="preserve">directly </w:t>
      </w:r>
      <w:r w:rsidR="005F3EAF" w:rsidRPr="005F3EAF">
        <w:rPr>
          <w:rFonts w:eastAsiaTheme="minorEastAsia"/>
        </w:rPr>
        <w:t>to human resources, pre and post-doc</w:t>
      </w:r>
      <w:r w:rsidR="005F3EAF">
        <w:rPr>
          <w:rFonts w:eastAsiaTheme="minorEastAsia"/>
        </w:rPr>
        <w:t>toral</w:t>
      </w:r>
      <w:r w:rsidR="005F3EAF" w:rsidRPr="005F3EAF">
        <w:rPr>
          <w:rFonts w:eastAsiaTheme="minorEastAsia"/>
        </w:rPr>
        <w:t xml:space="preserve"> contracts</w:t>
      </w:r>
      <w:r w:rsidR="00982F2A">
        <w:rPr>
          <w:rFonts w:eastAsiaTheme="minorEastAsia"/>
        </w:rPr>
        <w:t xml:space="preserve">. </w:t>
      </w:r>
      <w:r w:rsidR="005F3EAF">
        <w:rPr>
          <w:rFonts w:eastAsiaTheme="minorEastAsia"/>
        </w:rPr>
        <w:t xml:space="preserve">The policy is elaborated through </w:t>
      </w:r>
      <w:r w:rsidR="005F3EAF" w:rsidRPr="005F3EAF">
        <w:rPr>
          <w:rFonts w:eastAsiaTheme="minorEastAsia"/>
        </w:rPr>
        <w:t>USE Research and Transfer Plan 2022-</w:t>
      </w:r>
      <w:r w:rsidR="005F3EAF">
        <w:rPr>
          <w:rFonts w:eastAsiaTheme="minorEastAsia"/>
        </w:rPr>
        <w:t xml:space="preserve">2026, specific </w:t>
      </w:r>
      <w:r w:rsidR="005F3EAF" w:rsidRPr="005F3EAF">
        <w:rPr>
          <w:rFonts w:eastAsiaTheme="minorEastAsia"/>
        </w:rPr>
        <w:t>Stabilization Plan for Postdoctoral Research Staff of the Universit</w:t>
      </w:r>
      <w:r w:rsidR="005F3EAF">
        <w:rPr>
          <w:rFonts w:eastAsiaTheme="minorEastAsia"/>
        </w:rPr>
        <w:t xml:space="preserve">y of Seville and </w:t>
      </w:r>
      <w:r w:rsidR="005F3EAF" w:rsidRPr="005F3EAF">
        <w:rPr>
          <w:rFonts w:eastAsiaTheme="minorEastAsia"/>
        </w:rPr>
        <w:t>Program to recruit highly qualified technical support personnel for research</w:t>
      </w:r>
      <w:r w:rsidR="005F3EAF">
        <w:rPr>
          <w:rFonts w:eastAsiaTheme="minorEastAsia"/>
        </w:rPr>
        <w:t>. USE achieved a</w:t>
      </w:r>
      <w:r w:rsidR="005F3EAF" w:rsidRPr="005F3EAF">
        <w:rPr>
          <w:rFonts w:eastAsiaTheme="minorEastAsia"/>
        </w:rPr>
        <w:t xml:space="preserve">mazing results in 10 years, </w:t>
      </w:r>
      <w:r w:rsidR="005F3EAF">
        <w:rPr>
          <w:rFonts w:eastAsiaTheme="minorEastAsia"/>
        </w:rPr>
        <w:t xml:space="preserve">where </w:t>
      </w:r>
      <w:r w:rsidR="005F3EAF" w:rsidRPr="005F3EAF">
        <w:rPr>
          <w:rFonts w:eastAsiaTheme="minorEastAsia"/>
        </w:rPr>
        <w:t>predoctoral contracts increased from 336 (2015) to 454 (2025), postdoctoral contracts</w:t>
      </w:r>
      <w:r w:rsidR="005F3EAF">
        <w:rPr>
          <w:rFonts w:eastAsiaTheme="minorEastAsia"/>
        </w:rPr>
        <w:t xml:space="preserve"> from 115 (2015) to 404 (2025) and an exponential </w:t>
      </w:r>
      <w:r w:rsidR="005F3EAF" w:rsidRPr="005F3EAF">
        <w:rPr>
          <w:rFonts w:eastAsiaTheme="minorEastAsia"/>
        </w:rPr>
        <w:t>increase in the prestigious national program for attracting researchers "Ramon y Cajal".</w:t>
      </w:r>
      <w:r w:rsidR="005F3EAF">
        <w:rPr>
          <w:rFonts w:eastAsiaTheme="minorEastAsia"/>
        </w:rPr>
        <w:t xml:space="preserve"> </w:t>
      </w:r>
      <w:r w:rsidR="00053788">
        <w:rPr>
          <w:rFonts w:eastAsiaTheme="minorEastAsia"/>
        </w:rPr>
        <w:t xml:space="preserve">All these well designed </w:t>
      </w:r>
      <w:r w:rsidR="005F3EAF">
        <w:rPr>
          <w:rFonts w:eastAsiaTheme="minorEastAsia"/>
        </w:rPr>
        <w:t xml:space="preserve">and </w:t>
      </w:r>
      <w:r w:rsidR="005F3EAF" w:rsidRPr="00F32C54">
        <w:rPr>
          <w:rFonts w:eastAsiaTheme="minorEastAsia"/>
          <w:color w:val="000000" w:themeColor="text1"/>
        </w:rPr>
        <w:t xml:space="preserve">managed </w:t>
      </w:r>
      <w:r w:rsidR="00636B0A" w:rsidRPr="00F32C54">
        <w:rPr>
          <w:rFonts w:eastAsiaTheme="minorEastAsia"/>
          <w:color w:val="000000" w:themeColor="text1"/>
        </w:rPr>
        <w:t xml:space="preserve">highly competitive </w:t>
      </w:r>
      <w:r w:rsidR="00053788" w:rsidRPr="00F32C54">
        <w:rPr>
          <w:rFonts w:eastAsiaTheme="minorEastAsia"/>
          <w:color w:val="000000" w:themeColor="text1"/>
        </w:rPr>
        <w:t xml:space="preserve">programmes </w:t>
      </w:r>
      <w:r w:rsidR="005F3EAF" w:rsidRPr="00F32C54">
        <w:rPr>
          <w:rFonts w:eastAsiaTheme="minorEastAsia"/>
          <w:color w:val="000000" w:themeColor="text1"/>
        </w:rPr>
        <w:t>had direct</w:t>
      </w:r>
      <w:r w:rsidR="00053788" w:rsidRPr="00F32C54">
        <w:rPr>
          <w:rFonts w:eastAsiaTheme="minorEastAsia"/>
          <w:color w:val="000000" w:themeColor="text1"/>
        </w:rPr>
        <w:t xml:space="preserve"> effect on performance and international position of University of Seville already in a short term</w:t>
      </w:r>
      <w:r w:rsidR="005F3EAF" w:rsidRPr="00F32C54">
        <w:rPr>
          <w:rFonts w:eastAsiaTheme="minorEastAsia"/>
          <w:color w:val="000000" w:themeColor="text1"/>
        </w:rPr>
        <w:t>, with rapid increase in scientific production and excellence</w:t>
      </w:r>
      <w:r w:rsidR="00053788" w:rsidRPr="00F32C54">
        <w:rPr>
          <w:rFonts w:eastAsiaTheme="minorEastAsia"/>
          <w:color w:val="000000" w:themeColor="text1"/>
        </w:rPr>
        <w:t>. This session has provided a great rounding and accent to the whole workshop, showing how effective talent attraction and human resources programmes</w:t>
      </w:r>
      <w:r w:rsidR="005F3EAF" w:rsidRPr="00F32C54">
        <w:rPr>
          <w:rFonts w:eastAsiaTheme="minorEastAsia"/>
          <w:color w:val="000000" w:themeColor="text1"/>
        </w:rPr>
        <w:t xml:space="preserve"> with significant investment</w:t>
      </w:r>
      <w:r w:rsidR="00053788" w:rsidRPr="00F32C54">
        <w:rPr>
          <w:rFonts w:eastAsiaTheme="minorEastAsia"/>
          <w:color w:val="000000" w:themeColor="text1"/>
        </w:rPr>
        <w:t xml:space="preserve"> immediately improve the university’s both quantitative and qualitative metrics and position in international rankings. </w:t>
      </w:r>
      <w:r w:rsidR="005F3EAF" w:rsidRPr="00F32C54">
        <w:rPr>
          <w:rFonts w:eastAsiaTheme="minorEastAsia"/>
          <w:color w:val="000000" w:themeColor="text1"/>
        </w:rPr>
        <w:t xml:space="preserve"> </w:t>
      </w:r>
      <w:r w:rsidR="00636B0A" w:rsidRPr="00F32C54">
        <w:rPr>
          <w:rFonts w:eastAsiaTheme="minorEastAsia"/>
          <w:color w:val="000000" w:themeColor="text1"/>
        </w:rPr>
        <w:t>J</w:t>
      </w:r>
      <w:r w:rsidR="00104EF2" w:rsidRPr="00F32C54">
        <w:rPr>
          <w:rFonts w:eastAsiaTheme="minorEastAsia"/>
          <w:color w:val="000000" w:themeColor="text1"/>
        </w:rPr>
        <w:t xml:space="preserve">uan </w:t>
      </w:r>
      <w:r w:rsidR="00636B0A" w:rsidRPr="00F32C54">
        <w:rPr>
          <w:rFonts w:eastAsiaTheme="minorEastAsia"/>
          <w:color w:val="000000" w:themeColor="text1"/>
        </w:rPr>
        <w:t xml:space="preserve">A. Caballero </w:t>
      </w:r>
      <w:r w:rsidR="005F3EAF" w:rsidRPr="00F32C54">
        <w:rPr>
          <w:rFonts w:eastAsiaTheme="minorEastAsia"/>
          <w:color w:val="000000" w:themeColor="text1"/>
        </w:rPr>
        <w:t xml:space="preserve">concluded </w:t>
      </w:r>
      <w:r w:rsidR="005F3EAF">
        <w:rPr>
          <w:rFonts w:eastAsiaTheme="minorEastAsia"/>
        </w:rPr>
        <w:t xml:space="preserve">his presentation with a simple message: </w:t>
      </w:r>
      <w:r w:rsidR="005F3EAF" w:rsidRPr="005F3EAF">
        <w:rPr>
          <w:rFonts w:eastAsiaTheme="minorEastAsia"/>
        </w:rPr>
        <w:t>"When you invest in talents, you get the results, there is no other way."</w:t>
      </w:r>
    </w:p>
    <w:p w14:paraId="28FB4552" w14:textId="77777777" w:rsidR="003A6F66" w:rsidRPr="003A6F66" w:rsidRDefault="000B5D62" w:rsidP="003A6F66">
      <w:pPr>
        <w:pStyle w:val="Heading2"/>
        <w:rPr>
          <w:rFonts w:eastAsiaTheme="minorEastAsia"/>
        </w:rPr>
      </w:pPr>
      <w:r>
        <w:rPr>
          <w:rFonts w:eastAsiaTheme="minorEastAsia"/>
        </w:rPr>
        <w:t>Conclusions</w:t>
      </w:r>
      <w:r w:rsidR="003A6F66">
        <w:rPr>
          <w:rFonts w:eastAsiaTheme="minorEastAsia"/>
        </w:rPr>
        <w:t xml:space="preserve">: </w:t>
      </w:r>
      <w:r w:rsidR="003A6F66" w:rsidRPr="003A6F66">
        <w:rPr>
          <w:lang w:val="en-US"/>
        </w:rPr>
        <w:t xml:space="preserve">Driving </w:t>
      </w:r>
      <w:r w:rsidR="00A00E28">
        <w:rPr>
          <w:lang w:val="en-US"/>
        </w:rPr>
        <w:t>c</w:t>
      </w:r>
      <w:r w:rsidR="003A6F66" w:rsidRPr="003A6F66">
        <w:rPr>
          <w:lang w:val="en-US"/>
        </w:rPr>
        <w:t xml:space="preserve">hange </w:t>
      </w:r>
      <w:r w:rsidR="00A00E28">
        <w:rPr>
          <w:lang w:val="en-US"/>
        </w:rPr>
        <w:t>together t</w:t>
      </w:r>
      <w:r w:rsidR="003A6F66" w:rsidRPr="003A6F66">
        <w:rPr>
          <w:lang w:val="en-US"/>
        </w:rPr>
        <w:t xml:space="preserve">hrough </w:t>
      </w:r>
      <w:r w:rsidR="00A00E28">
        <w:rPr>
          <w:lang w:val="en-US"/>
        </w:rPr>
        <w:t>s</w:t>
      </w:r>
      <w:r w:rsidR="003A6F66" w:rsidRPr="003A6F66">
        <w:rPr>
          <w:lang w:val="en-US"/>
        </w:rPr>
        <w:t xml:space="preserve">hared </w:t>
      </w:r>
      <w:r w:rsidR="00A00E28">
        <w:rPr>
          <w:lang w:val="en-US"/>
        </w:rPr>
        <w:t>v</w:t>
      </w:r>
      <w:r w:rsidR="003A6F66" w:rsidRPr="003A6F66">
        <w:rPr>
          <w:lang w:val="en-US"/>
        </w:rPr>
        <w:t>ision</w:t>
      </w:r>
    </w:p>
    <w:p w14:paraId="4A9F2D96" w14:textId="77777777" w:rsidR="00BA4237" w:rsidRPr="003A6F66" w:rsidRDefault="008B1077" w:rsidP="00BA4237">
      <w:pPr>
        <w:rPr>
          <w:lang w:val="en-US"/>
        </w:rPr>
      </w:pPr>
      <w:r>
        <w:rPr>
          <w:lang w:val="en-US"/>
        </w:rPr>
        <w:t xml:space="preserve">In the workshop it was stated that </w:t>
      </w:r>
      <w:r w:rsidR="00B56FCB">
        <w:rPr>
          <w:lang w:val="en-US"/>
        </w:rPr>
        <w:t xml:space="preserve">taking part in </w:t>
      </w:r>
      <w:r>
        <w:rPr>
          <w:lang w:val="en-US"/>
        </w:rPr>
        <w:t>building a</w:t>
      </w:r>
      <w:r w:rsidR="000C589D">
        <w:rPr>
          <w:lang w:val="en-US"/>
        </w:rPr>
        <w:t>n attractive,</w:t>
      </w:r>
      <w:r w:rsidR="003A6F66" w:rsidRPr="003A6F66">
        <w:rPr>
          <w:lang w:val="en-US"/>
        </w:rPr>
        <w:t xml:space="preserve"> fair, inclusive, and high-impact European research ecosystem</w:t>
      </w:r>
      <w:r>
        <w:rPr>
          <w:lang w:val="en-US"/>
        </w:rPr>
        <w:t xml:space="preserve"> is our shared goal as Ulysseus alliance. </w:t>
      </w:r>
      <w:r w:rsidR="00B56FCB" w:rsidRPr="000213A1">
        <w:rPr>
          <w:rFonts w:eastAsiaTheme="minorEastAsia"/>
        </w:rPr>
        <w:t>European initiatives such as the HR</w:t>
      </w:r>
      <w:r w:rsidR="00B56FCB">
        <w:rPr>
          <w:rFonts w:eastAsiaTheme="minorEastAsia"/>
        </w:rPr>
        <w:t>S4R</w:t>
      </w:r>
      <w:r w:rsidR="00B56FCB" w:rsidRPr="000213A1">
        <w:rPr>
          <w:rFonts w:eastAsiaTheme="minorEastAsia"/>
        </w:rPr>
        <w:t xml:space="preserve"> </w:t>
      </w:r>
      <w:r w:rsidR="00B56FCB">
        <w:rPr>
          <w:rFonts w:eastAsiaTheme="minorEastAsia"/>
        </w:rPr>
        <w:t xml:space="preserve">and </w:t>
      </w:r>
      <w:proofErr w:type="spellStart"/>
      <w:r w:rsidR="00B56FCB">
        <w:rPr>
          <w:rFonts w:eastAsiaTheme="minorEastAsia"/>
        </w:rPr>
        <w:t>CoARA</w:t>
      </w:r>
      <w:proofErr w:type="spellEnd"/>
      <w:r w:rsidR="00B56FCB">
        <w:rPr>
          <w:rFonts w:eastAsiaTheme="minorEastAsia"/>
        </w:rPr>
        <w:t xml:space="preserve"> </w:t>
      </w:r>
      <w:r w:rsidR="00BA4237" w:rsidRPr="003A6F66">
        <w:rPr>
          <w:lang w:val="en-US"/>
        </w:rPr>
        <w:t xml:space="preserve">provide </w:t>
      </w:r>
      <w:r w:rsidR="009D31C2">
        <w:rPr>
          <w:lang w:val="en-US"/>
        </w:rPr>
        <w:t xml:space="preserve">universities unique </w:t>
      </w:r>
      <w:r w:rsidR="009B6610">
        <w:rPr>
          <w:lang w:val="en-US"/>
        </w:rPr>
        <w:t xml:space="preserve">possibilities to </w:t>
      </w:r>
      <w:r w:rsidR="0052747F">
        <w:rPr>
          <w:lang w:val="en-US"/>
        </w:rPr>
        <w:t>develop and share</w:t>
      </w:r>
      <w:r w:rsidR="009B6610">
        <w:rPr>
          <w:lang w:val="en-US"/>
        </w:rPr>
        <w:t xml:space="preserve"> </w:t>
      </w:r>
      <w:r w:rsidR="00BA4237" w:rsidRPr="003A6F66">
        <w:rPr>
          <w:lang w:val="en-US"/>
        </w:rPr>
        <w:t>roadmap</w:t>
      </w:r>
      <w:r w:rsidR="003D0187">
        <w:rPr>
          <w:lang w:val="en-US"/>
        </w:rPr>
        <w:t>s</w:t>
      </w:r>
      <w:r w:rsidR="00BA4237" w:rsidRPr="003A6F66">
        <w:rPr>
          <w:lang w:val="en-US"/>
        </w:rPr>
        <w:t xml:space="preserve"> for improving </w:t>
      </w:r>
      <w:r w:rsidR="00106750">
        <w:rPr>
          <w:lang w:val="en-US"/>
        </w:rPr>
        <w:t xml:space="preserve">institutional </w:t>
      </w:r>
      <w:r w:rsidR="00BA4237" w:rsidRPr="003A6F66">
        <w:rPr>
          <w:lang w:val="en-US"/>
        </w:rPr>
        <w:t xml:space="preserve">researcher working conditions </w:t>
      </w:r>
      <w:r w:rsidR="00233958">
        <w:rPr>
          <w:lang w:val="en-US"/>
        </w:rPr>
        <w:t>and enriching research assessment</w:t>
      </w:r>
      <w:r w:rsidR="009D31C2">
        <w:rPr>
          <w:lang w:val="en-US"/>
        </w:rPr>
        <w:t>. I</w:t>
      </w:r>
      <w:r w:rsidR="00106750">
        <w:rPr>
          <w:lang w:val="en-US"/>
        </w:rPr>
        <w:t xml:space="preserve">mportantly, </w:t>
      </w:r>
      <w:r w:rsidR="003D0187">
        <w:rPr>
          <w:lang w:val="en-US"/>
        </w:rPr>
        <w:t xml:space="preserve">they also offer </w:t>
      </w:r>
      <w:r w:rsidR="00BA4237" w:rsidRPr="003A6F66">
        <w:rPr>
          <w:lang w:val="en-US"/>
        </w:rPr>
        <w:t xml:space="preserve">strategic </w:t>
      </w:r>
      <w:r w:rsidR="003E5665" w:rsidRPr="003A6F66">
        <w:rPr>
          <w:lang w:val="en-US"/>
        </w:rPr>
        <w:t>advantages</w:t>
      </w:r>
      <w:r w:rsidR="00BA4237" w:rsidRPr="003A6F66">
        <w:rPr>
          <w:lang w:val="en-US"/>
        </w:rPr>
        <w:t xml:space="preserve"> </w:t>
      </w:r>
      <w:r w:rsidR="00D4175D">
        <w:rPr>
          <w:lang w:val="en-US"/>
        </w:rPr>
        <w:t xml:space="preserve">for European universities </w:t>
      </w:r>
      <w:r w:rsidR="00BA4237" w:rsidRPr="003A6F66">
        <w:rPr>
          <w:lang w:val="en-US"/>
        </w:rPr>
        <w:t>in global visibility, funding eligibility, and academic excellence.</w:t>
      </w:r>
      <w:r w:rsidR="009A5A87">
        <w:rPr>
          <w:lang w:val="en-US"/>
        </w:rPr>
        <w:t xml:space="preserve"> </w:t>
      </w:r>
      <w:r w:rsidR="009A5A87" w:rsidRPr="003A6F66">
        <w:rPr>
          <w:lang w:val="en-US"/>
        </w:rPr>
        <w:t xml:space="preserve">By embedding </w:t>
      </w:r>
      <w:r w:rsidR="003B6A6A">
        <w:rPr>
          <w:lang w:val="en-US"/>
        </w:rPr>
        <w:t xml:space="preserve">their </w:t>
      </w:r>
      <w:r w:rsidR="009A5A87" w:rsidRPr="003A6F66">
        <w:rPr>
          <w:lang w:val="en-US"/>
        </w:rPr>
        <w:t>HR strateg</w:t>
      </w:r>
      <w:r w:rsidR="003B6A6A">
        <w:rPr>
          <w:lang w:val="en-US"/>
        </w:rPr>
        <w:t>ies</w:t>
      </w:r>
      <w:r w:rsidR="009A5A87" w:rsidRPr="003A6F66">
        <w:rPr>
          <w:lang w:val="en-US"/>
        </w:rPr>
        <w:t xml:space="preserve"> into the core of research reform, universities can better attract and retain talent, support diverse research careers, and respond to evolving expectations from funders and society.</w:t>
      </w:r>
    </w:p>
    <w:p w14:paraId="57A4A251" w14:textId="77777777" w:rsidR="003A6F66" w:rsidRPr="003A6F66" w:rsidRDefault="00A86DD9" w:rsidP="003A6F66">
      <w:pPr>
        <w:rPr>
          <w:lang w:val="en-US"/>
        </w:rPr>
      </w:pPr>
      <w:r>
        <w:rPr>
          <w:lang w:val="en-US"/>
        </w:rPr>
        <w:t xml:space="preserve">However, </w:t>
      </w:r>
      <w:r w:rsidR="00963FF3">
        <w:rPr>
          <w:lang w:val="en-US"/>
        </w:rPr>
        <w:t>succeed</w:t>
      </w:r>
      <w:r>
        <w:rPr>
          <w:lang w:val="en-US"/>
        </w:rPr>
        <w:t>ing</w:t>
      </w:r>
      <w:r w:rsidR="00963FF3">
        <w:rPr>
          <w:lang w:val="en-US"/>
        </w:rPr>
        <w:t xml:space="preserve"> in implementing </w:t>
      </w:r>
      <w:proofErr w:type="spellStart"/>
      <w:r w:rsidR="00963FF3">
        <w:rPr>
          <w:lang w:val="en-US"/>
        </w:rPr>
        <w:t>CoARA</w:t>
      </w:r>
      <w:proofErr w:type="spellEnd"/>
      <w:r w:rsidR="00963FF3">
        <w:rPr>
          <w:lang w:val="en-US"/>
        </w:rPr>
        <w:t xml:space="preserve"> and HRS4R,</w:t>
      </w:r>
      <w:r w:rsidR="003A6F66" w:rsidRPr="003A6F66">
        <w:rPr>
          <w:lang w:val="en-US"/>
        </w:rPr>
        <w:t xml:space="preserve"> </w:t>
      </w:r>
      <w:r w:rsidR="003E5665">
        <w:rPr>
          <w:lang w:val="en-US"/>
        </w:rPr>
        <w:t xml:space="preserve">strong and visionary </w:t>
      </w:r>
      <w:r w:rsidR="003A6F66" w:rsidRPr="003A6F66">
        <w:rPr>
          <w:lang w:val="en-US"/>
        </w:rPr>
        <w:t xml:space="preserve">institutional leadership </w:t>
      </w:r>
      <w:r w:rsidR="007B2EC7">
        <w:rPr>
          <w:lang w:val="en-US"/>
        </w:rPr>
        <w:t>and collaboration between organizations are</w:t>
      </w:r>
      <w:r w:rsidR="00963FF3">
        <w:rPr>
          <w:lang w:val="en-US"/>
        </w:rPr>
        <w:t xml:space="preserve"> required:</w:t>
      </w:r>
      <w:r w:rsidR="003A6F66" w:rsidRPr="003A6F66">
        <w:rPr>
          <w:lang w:val="en-US"/>
        </w:rPr>
        <w:t xml:space="preserve"> </w:t>
      </w:r>
      <w:r w:rsidR="005E5C19">
        <w:rPr>
          <w:lang w:val="en-US"/>
        </w:rPr>
        <w:t>Attaining the goals for t</w:t>
      </w:r>
      <w:r w:rsidR="003A6F66" w:rsidRPr="003A6F66">
        <w:rPr>
          <w:lang w:val="en-US"/>
        </w:rPr>
        <w:t xml:space="preserve">hese initiatives </w:t>
      </w:r>
      <w:r w:rsidR="009A5A87">
        <w:rPr>
          <w:lang w:val="en-US"/>
        </w:rPr>
        <w:t>is hard work</w:t>
      </w:r>
      <w:r>
        <w:rPr>
          <w:lang w:val="en-US"/>
        </w:rPr>
        <w:t xml:space="preserve">, and there are many places to learn from each other – to share practices, to </w:t>
      </w:r>
      <w:r w:rsidR="003B5E28">
        <w:rPr>
          <w:lang w:val="en-US"/>
        </w:rPr>
        <w:t>evaluate and develop processes, to discuss shared criteria. We sincerely believe that t</w:t>
      </w:r>
      <w:r w:rsidR="003A6F66" w:rsidRPr="003A6F66">
        <w:rPr>
          <w:lang w:val="en-US"/>
        </w:rPr>
        <w:t xml:space="preserve">he </w:t>
      </w:r>
      <w:proofErr w:type="spellStart"/>
      <w:r w:rsidR="003A6F66" w:rsidRPr="003A6F66">
        <w:rPr>
          <w:lang w:val="en-US"/>
        </w:rPr>
        <w:t>Ulysseus</w:t>
      </w:r>
      <w:proofErr w:type="spellEnd"/>
      <w:r w:rsidR="003A6F66" w:rsidRPr="003A6F66">
        <w:rPr>
          <w:lang w:val="en-US"/>
        </w:rPr>
        <w:t xml:space="preserve"> </w:t>
      </w:r>
      <w:proofErr w:type="spellStart"/>
      <w:r w:rsidR="00E30BFA">
        <w:t>Košice</w:t>
      </w:r>
      <w:proofErr w:type="spellEnd"/>
      <w:r w:rsidR="003B5E28">
        <w:rPr>
          <w:lang w:val="en-US"/>
        </w:rPr>
        <w:t xml:space="preserve"> </w:t>
      </w:r>
      <w:r w:rsidR="003A6F66" w:rsidRPr="003A6F66">
        <w:rPr>
          <w:lang w:val="en-US"/>
        </w:rPr>
        <w:t>workshop serv</w:t>
      </w:r>
      <w:r w:rsidR="003B5E28">
        <w:rPr>
          <w:lang w:val="en-US"/>
        </w:rPr>
        <w:t>ed a</w:t>
      </w:r>
      <w:r w:rsidR="003A6F66" w:rsidRPr="003A6F66">
        <w:rPr>
          <w:lang w:val="en-US"/>
        </w:rPr>
        <w:t>s a catalyst for this</w:t>
      </w:r>
      <w:r w:rsidR="00646977">
        <w:rPr>
          <w:lang w:val="en-US"/>
        </w:rPr>
        <w:t xml:space="preserve">: </w:t>
      </w:r>
      <w:r w:rsidR="003A6F66" w:rsidRPr="003A6F66">
        <w:rPr>
          <w:lang w:val="en-US"/>
        </w:rPr>
        <w:t>bringing together partners to share best practices, confront challenges, and shape a collective path forward.</w:t>
      </w:r>
    </w:p>
    <w:p w14:paraId="61F3DA8F" w14:textId="77777777" w:rsidR="003A6F66" w:rsidRPr="003A6F66" w:rsidRDefault="003A6F66" w:rsidP="003A6F66">
      <w:pPr>
        <w:rPr>
          <w:lang w:val="en-US"/>
        </w:rPr>
      </w:pPr>
      <w:r w:rsidRPr="003A6F66">
        <w:rPr>
          <w:lang w:val="en-US"/>
        </w:rPr>
        <w:t xml:space="preserve">Ultimately, </w:t>
      </w:r>
      <w:r w:rsidR="00460879">
        <w:rPr>
          <w:lang w:val="en-US"/>
        </w:rPr>
        <w:t xml:space="preserve">we believe that </w:t>
      </w:r>
      <w:r w:rsidRPr="003A6F66">
        <w:rPr>
          <w:lang w:val="en-US"/>
        </w:rPr>
        <w:t>investing in people is investing in performance</w:t>
      </w:r>
      <w:r w:rsidR="00460879">
        <w:rPr>
          <w:lang w:val="en-US"/>
        </w:rPr>
        <w:t xml:space="preserve"> and competitive advantage of European universities</w:t>
      </w:r>
      <w:r w:rsidRPr="003A6F66">
        <w:rPr>
          <w:lang w:val="en-US"/>
        </w:rPr>
        <w:t>. Through collaboration, commitment, and shared values, Ulysseus institutions are well-positioned to lead the way in creating research environments where both individuals and institutions can thrive.</w:t>
      </w:r>
    </w:p>
    <w:p w14:paraId="631497AF" w14:textId="77777777" w:rsidR="003A6F66" w:rsidRPr="003A6F66" w:rsidRDefault="003A6F66" w:rsidP="003A6F66"/>
    <w:p w14:paraId="280BF875" w14:textId="77777777" w:rsidR="00DE6AC9" w:rsidRDefault="223D8E89" w:rsidP="00B74D50">
      <w:pPr>
        <w:pStyle w:val="Heading2"/>
        <w:rPr>
          <w:rFonts w:eastAsia="Calibri"/>
        </w:rPr>
      </w:pPr>
      <w:r w:rsidRPr="1A96B757">
        <w:rPr>
          <w:rFonts w:eastAsia="Calibri"/>
        </w:rPr>
        <w:t>References</w:t>
      </w:r>
    </w:p>
    <w:p w14:paraId="6E4758D9" w14:textId="77777777" w:rsidR="00DE6AC9" w:rsidRDefault="223D8E89" w:rsidP="1A96B757">
      <w:pPr>
        <w:spacing w:before="240" w:after="240"/>
        <w:rPr>
          <w:rFonts w:ascii="Calibri" w:eastAsia="Calibri" w:hAnsi="Calibri" w:cs="Calibri"/>
        </w:rPr>
      </w:pPr>
      <w:r w:rsidRPr="1A96B757">
        <w:rPr>
          <w:rFonts w:ascii="Calibri" w:eastAsia="Calibri" w:hAnsi="Calibri" w:cs="Calibri"/>
        </w:rPr>
        <w:t xml:space="preserve">CoARA (2025). </w:t>
      </w:r>
      <w:hyperlink r:id="rId16">
        <w:r w:rsidRPr="1A96B757">
          <w:rPr>
            <w:rStyle w:val="Hyperlink"/>
            <w:rFonts w:ascii="Calibri" w:eastAsia="Calibri" w:hAnsi="Calibri" w:cs="Calibri"/>
          </w:rPr>
          <w:t xml:space="preserve">About - </w:t>
        </w:r>
        <w:proofErr w:type="spellStart"/>
        <w:r w:rsidRPr="1A96B757">
          <w:rPr>
            <w:rStyle w:val="Hyperlink"/>
            <w:rFonts w:ascii="Calibri" w:eastAsia="Calibri" w:hAnsi="Calibri" w:cs="Calibri"/>
          </w:rPr>
          <w:t>CoARA</w:t>
        </w:r>
        <w:proofErr w:type="spellEnd"/>
      </w:hyperlink>
      <w:r w:rsidRPr="1A96B757">
        <w:rPr>
          <w:rFonts w:ascii="Calibri" w:eastAsia="Calibri" w:hAnsi="Calibri" w:cs="Calibri"/>
        </w:rPr>
        <w:t xml:space="preserve"> </w:t>
      </w:r>
      <w:r w:rsidR="00BF465B">
        <w:rPr>
          <w:rFonts w:ascii="Calibri" w:eastAsia="Calibri" w:hAnsi="Calibri" w:cs="Calibri"/>
        </w:rPr>
        <w:t xml:space="preserve">Accessed </w:t>
      </w:r>
      <w:r w:rsidRPr="1A96B757">
        <w:rPr>
          <w:rFonts w:ascii="Calibri" w:eastAsia="Calibri" w:hAnsi="Calibri" w:cs="Calibri"/>
        </w:rPr>
        <w:t>3</w:t>
      </w:r>
      <w:r w:rsidRPr="1A96B757">
        <w:rPr>
          <w:rFonts w:ascii="Calibri" w:eastAsia="Calibri" w:hAnsi="Calibri" w:cs="Calibri"/>
          <w:vertAlign w:val="superscript"/>
        </w:rPr>
        <w:t>rd</w:t>
      </w:r>
      <w:r w:rsidRPr="1A96B757">
        <w:rPr>
          <w:rFonts w:ascii="Calibri" w:eastAsia="Calibri" w:hAnsi="Calibri" w:cs="Calibri"/>
        </w:rPr>
        <w:t xml:space="preserve"> November 2025. </w:t>
      </w:r>
    </w:p>
    <w:p w14:paraId="42286D73" w14:textId="77777777" w:rsidR="00FF4F3B" w:rsidRDefault="00FF4F3B" w:rsidP="006428B1">
      <w:pPr>
        <w:spacing w:before="240" w:after="240"/>
        <w:rPr>
          <w:rFonts w:eastAsiaTheme="minorEastAsia"/>
        </w:rPr>
      </w:pPr>
      <w:hyperlink r:id="rId17" w:history="1">
        <w:r w:rsidRPr="00FF4F3B">
          <w:rPr>
            <w:rStyle w:val="Hyperlink"/>
            <w:rFonts w:eastAsiaTheme="minorEastAsia"/>
          </w:rPr>
          <w:t>European Charter for Researchers | EURAXESS</w:t>
        </w:r>
      </w:hyperlink>
      <w:r>
        <w:rPr>
          <w:rFonts w:eastAsiaTheme="minorEastAsia"/>
        </w:rPr>
        <w:t xml:space="preserve"> (2025). </w:t>
      </w:r>
      <w:r w:rsidR="00BF465B">
        <w:rPr>
          <w:rFonts w:ascii="Calibri" w:eastAsia="Calibri" w:hAnsi="Calibri" w:cs="Calibri"/>
        </w:rPr>
        <w:t xml:space="preserve">Accessed </w:t>
      </w:r>
      <w:r w:rsidR="00BF465B" w:rsidRPr="1A96B757">
        <w:rPr>
          <w:rFonts w:ascii="Calibri" w:eastAsia="Calibri" w:hAnsi="Calibri" w:cs="Calibri"/>
        </w:rPr>
        <w:t>3</w:t>
      </w:r>
      <w:r w:rsidR="00BF465B" w:rsidRPr="1A96B757">
        <w:rPr>
          <w:rFonts w:ascii="Calibri" w:eastAsia="Calibri" w:hAnsi="Calibri" w:cs="Calibri"/>
          <w:vertAlign w:val="superscript"/>
        </w:rPr>
        <w:t>rd</w:t>
      </w:r>
      <w:r w:rsidR="00BF465B" w:rsidRPr="1A96B757">
        <w:rPr>
          <w:rFonts w:ascii="Calibri" w:eastAsia="Calibri" w:hAnsi="Calibri" w:cs="Calibri"/>
        </w:rPr>
        <w:t xml:space="preserve"> November 2025</w:t>
      </w:r>
    </w:p>
    <w:p w14:paraId="23FBAEEB" w14:textId="77777777" w:rsidR="00DE6AC9" w:rsidRDefault="3A5F49C3" w:rsidP="006428B1">
      <w:pPr>
        <w:spacing w:before="240" w:after="240"/>
        <w:rPr>
          <w:rFonts w:ascii="Calibri" w:eastAsia="Calibri" w:hAnsi="Calibri" w:cs="Calibri"/>
        </w:rPr>
      </w:pPr>
      <w:r w:rsidRPr="1A96B757">
        <w:rPr>
          <w:rFonts w:eastAsiaTheme="minorEastAsia"/>
        </w:rPr>
        <w:t xml:space="preserve">HR Excellence in Research award (2025). </w:t>
      </w:r>
      <w:hyperlink r:id="rId18">
        <w:r w:rsidRPr="1A96B757">
          <w:rPr>
            <w:rStyle w:val="Hyperlink"/>
            <w:rFonts w:ascii="Calibri" w:eastAsia="Calibri" w:hAnsi="Calibri" w:cs="Calibri"/>
          </w:rPr>
          <w:t>HR Excellence in Research | EURAXESS</w:t>
        </w:r>
      </w:hyperlink>
      <w:r w:rsidRPr="1A96B757">
        <w:rPr>
          <w:rFonts w:ascii="Calibri" w:eastAsia="Calibri" w:hAnsi="Calibri" w:cs="Calibri"/>
        </w:rPr>
        <w:t xml:space="preserve"> </w:t>
      </w:r>
      <w:r w:rsidR="00BF465B">
        <w:rPr>
          <w:rFonts w:ascii="Calibri" w:eastAsia="Calibri" w:hAnsi="Calibri" w:cs="Calibri"/>
        </w:rPr>
        <w:t xml:space="preserve">Accessed </w:t>
      </w:r>
      <w:r w:rsidR="00BF465B" w:rsidRPr="1A96B757">
        <w:rPr>
          <w:rFonts w:ascii="Calibri" w:eastAsia="Calibri" w:hAnsi="Calibri" w:cs="Calibri"/>
        </w:rPr>
        <w:t>3</w:t>
      </w:r>
      <w:r w:rsidR="00BF465B" w:rsidRPr="1A96B757">
        <w:rPr>
          <w:rFonts w:ascii="Calibri" w:eastAsia="Calibri" w:hAnsi="Calibri" w:cs="Calibri"/>
          <w:vertAlign w:val="superscript"/>
        </w:rPr>
        <w:t>rd</w:t>
      </w:r>
      <w:r w:rsidR="00BF465B" w:rsidRPr="1A96B757">
        <w:rPr>
          <w:rFonts w:ascii="Calibri" w:eastAsia="Calibri" w:hAnsi="Calibri" w:cs="Calibri"/>
        </w:rPr>
        <w:t xml:space="preserve"> November 2025</w:t>
      </w:r>
      <w:r w:rsidRPr="1A96B757">
        <w:rPr>
          <w:rFonts w:ascii="Calibri" w:eastAsia="Calibri" w:hAnsi="Calibri" w:cs="Calibri"/>
        </w:rPr>
        <w:t>.</w:t>
      </w:r>
    </w:p>
    <w:p w14:paraId="0972348E" w14:textId="77777777" w:rsidR="00AC0F00" w:rsidRDefault="00AC0F00" w:rsidP="00DE6AC9">
      <w:pPr>
        <w:spacing w:before="240" w:after="240"/>
        <w:rPr>
          <w:rFonts w:ascii="Calibri" w:eastAsia="Calibri" w:hAnsi="Calibri" w:cs="Calibri"/>
          <w:lang w:val="sr-Latn-ME"/>
        </w:rPr>
      </w:pPr>
    </w:p>
    <w:sectPr w:rsidR="00AC0F00">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A6529" w14:textId="77777777" w:rsidR="0088549D" w:rsidRDefault="0088549D" w:rsidP="00B510EC">
      <w:pPr>
        <w:spacing w:after="0" w:line="240" w:lineRule="auto"/>
      </w:pPr>
      <w:r>
        <w:separator/>
      </w:r>
    </w:p>
  </w:endnote>
  <w:endnote w:type="continuationSeparator" w:id="0">
    <w:p w14:paraId="1D82D455" w14:textId="77777777" w:rsidR="0088549D" w:rsidRDefault="0088549D" w:rsidP="00B51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Trebuchet MS&quot;,sans-serif">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3912389"/>
      <w:docPartObj>
        <w:docPartGallery w:val="Page Numbers (Bottom of Page)"/>
        <w:docPartUnique/>
      </w:docPartObj>
    </w:sdtPr>
    <w:sdtEndPr>
      <w:rPr>
        <w:noProof/>
      </w:rPr>
    </w:sdtEndPr>
    <w:sdtContent>
      <w:p w14:paraId="651B016A" w14:textId="4D992C82" w:rsidR="00B510EC" w:rsidRDefault="00B510EC">
        <w:pPr>
          <w:pStyle w:val="Footer"/>
          <w:jc w:val="center"/>
        </w:pPr>
        <w:r>
          <w:fldChar w:fldCharType="begin"/>
        </w:r>
        <w:r>
          <w:instrText xml:space="preserve"> PAGE   \* MERGEFORMAT </w:instrText>
        </w:r>
        <w:r>
          <w:fldChar w:fldCharType="separate"/>
        </w:r>
        <w:r w:rsidR="00F526EC">
          <w:rPr>
            <w:noProof/>
          </w:rPr>
          <w:t>2</w:t>
        </w:r>
        <w:r>
          <w:rPr>
            <w:noProof/>
          </w:rPr>
          <w:fldChar w:fldCharType="end"/>
        </w:r>
      </w:p>
    </w:sdtContent>
  </w:sdt>
  <w:p w14:paraId="4230B19D" w14:textId="77777777" w:rsidR="00B510EC" w:rsidRDefault="00B51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82A4C" w14:textId="77777777" w:rsidR="0088549D" w:rsidRDefault="0088549D" w:rsidP="00B510EC">
      <w:pPr>
        <w:spacing w:after="0" w:line="240" w:lineRule="auto"/>
      </w:pPr>
      <w:r>
        <w:separator/>
      </w:r>
    </w:p>
  </w:footnote>
  <w:footnote w:type="continuationSeparator" w:id="0">
    <w:p w14:paraId="51BACF15" w14:textId="77777777" w:rsidR="0088549D" w:rsidRDefault="0088549D" w:rsidP="00B510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E827"/>
    <w:multiLevelType w:val="hybridMultilevel"/>
    <w:tmpl w:val="D6F62526"/>
    <w:lvl w:ilvl="0" w:tplc="8C840580">
      <w:start w:val="1"/>
      <w:numFmt w:val="bullet"/>
      <w:lvlText w:val=""/>
      <w:lvlJc w:val="left"/>
      <w:pPr>
        <w:ind w:left="720" w:hanging="360"/>
      </w:pPr>
      <w:rPr>
        <w:rFonts w:ascii="Symbol" w:hAnsi="Symbol" w:hint="default"/>
      </w:rPr>
    </w:lvl>
    <w:lvl w:ilvl="1" w:tplc="58ECD36E">
      <w:start w:val="1"/>
      <w:numFmt w:val="bullet"/>
      <w:lvlText w:val="o"/>
      <w:lvlJc w:val="left"/>
      <w:pPr>
        <w:ind w:left="1440" w:hanging="360"/>
      </w:pPr>
      <w:rPr>
        <w:rFonts w:ascii="Courier New" w:hAnsi="Courier New" w:hint="default"/>
      </w:rPr>
    </w:lvl>
    <w:lvl w:ilvl="2" w:tplc="BB0EB918">
      <w:start w:val="1"/>
      <w:numFmt w:val="bullet"/>
      <w:lvlText w:val=""/>
      <w:lvlJc w:val="left"/>
      <w:pPr>
        <w:ind w:left="2160" w:hanging="360"/>
      </w:pPr>
      <w:rPr>
        <w:rFonts w:ascii="Wingdings" w:hAnsi="Wingdings" w:hint="default"/>
      </w:rPr>
    </w:lvl>
    <w:lvl w:ilvl="3" w:tplc="7BC80868">
      <w:start w:val="1"/>
      <w:numFmt w:val="bullet"/>
      <w:lvlText w:val=""/>
      <w:lvlJc w:val="left"/>
      <w:pPr>
        <w:ind w:left="2880" w:hanging="360"/>
      </w:pPr>
      <w:rPr>
        <w:rFonts w:ascii="Symbol" w:hAnsi="Symbol" w:hint="default"/>
      </w:rPr>
    </w:lvl>
    <w:lvl w:ilvl="4" w:tplc="E378FBD8">
      <w:start w:val="1"/>
      <w:numFmt w:val="bullet"/>
      <w:lvlText w:val="o"/>
      <w:lvlJc w:val="left"/>
      <w:pPr>
        <w:ind w:left="3600" w:hanging="360"/>
      </w:pPr>
      <w:rPr>
        <w:rFonts w:ascii="Courier New" w:hAnsi="Courier New" w:hint="default"/>
      </w:rPr>
    </w:lvl>
    <w:lvl w:ilvl="5" w:tplc="166A3B8A">
      <w:start w:val="1"/>
      <w:numFmt w:val="bullet"/>
      <w:lvlText w:val=""/>
      <w:lvlJc w:val="left"/>
      <w:pPr>
        <w:ind w:left="4320" w:hanging="360"/>
      </w:pPr>
      <w:rPr>
        <w:rFonts w:ascii="Wingdings" w:hAnsi="Wingdings" w:hint="default"/>
      </w:rPr>
    </w:lvl>
    <w:lvl w:ilvl="6" w:tplc="6C66F5FC">
      <w:start w:val="1"/>
      <w:numFmt w:val="bullet"/>
      <w:lvlText w:val=""/>
      <w:lvlJc w:val="left"/>
      <w:pPr>
        <w:ind w:left="5040" w:hanging="360"/>
      </w:pPr>
      <w:rPr>
        <w:rFonts w:ascii="Symbol" w:hAnsi="Symbol" w:hint="default"/>
      </w:rPr>
    </w:lvl>
    <w:lvl w:ilvl="7" w:tplc="461AA9D2">
      <w:start w:val="1"/>
      <w:numFmt w:val="bullet"/>
      <w:lvlText w:val="o"/>
      <w:lvlJc w:val="left"/>
      <w:pPr>
        <w:ind w:left="5760" w:hanging="360"/>
      </w:pPr>
      <w:rPr>
        <w:rFonts w:ascii="Courier New" w:hAnsi="Courier New" w:hint="default"/>
      </w:rPr>
    </w:lvl>
    <w:lvl w:ilvl="8" w:tplc="67B4CAC8">
      <w:start w:val="1"/>
      <w:numFmt w:val="bullet"/>
      <w:lvlText w:val=""/>
      <w:lvlJc w:val="left"/>
      <w:pPr>
        <w:ind w:left="6480" w:hanging="360"/>
      </w:pPr>
      <w:rPr>
        <w:rFonts w:ascii="Wingdings" w:hAnsi="Wingdings" w:hint="default"/>
      </w:rPr>
    </w:lvl>
  </w:abstractNum>
  <w:abstractNum w:abstractNumId="1" w15:restartNumberingAfterBreak="0">
    <w:nsid w:val="08846370"/>
    <w:multiLevelType w:val="multilevel"/>
    <w:tmpl w:val="0660D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1C51B3"/>
    <w:multiLevelType w:val="multilevel"/>
    <w:tmpl w:val="0ACEC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BE1BEC"/>
    <w:multiLevelType w:val="hybridMultilevel"/>
    <w:tmpl w:val="BAB40750"/>
    <w:lvl w:ilvl="0" w:tplc="C4462B0E">
      <w:start w:val="1"/>
      <w:numFmt w:val="bullet"/>
      <w:lvlText w:val=""/>
      <w:lvlJc w:val="left"/>
      <w:pPr>
        <w:ind w:left="720" w:hanging="360"/>
      </w:pPr>
      <w:rPr>
        <w:rFonts w:ascii="Symbol" w:hAnsi="Symbol" w:hint="default"/>
      </w:rPr>
    </w:lvl>
    <w:lvl w:ilvl="1" w:tplc="43C40230">
      <w:start w:val="1"/>
      <w:numFmt w:val="bullet"/>
      <w:lvlText w:val="o"/>
      <w:lvlJc w:val="left"/>
      <w:pPr>
        <w:ind w:left="1440" w:hanging="360"/>
      </w:pPr>
      <w:rPr>
        <w:rFonts w:ascii="Courier New" w:hAnsi="Courier New" w:hint="default"/>
      </w:rPr>
    </w:lvl>
    <w:lvl w:ilvl="2" w:tplc="26BED21C">
      <w:start w:val="1"/>
      <w:numFmt w:val="bullet"/>
      <w:lvlText w:val="-"/>
      <w:lvlJc w:val="left"/>
      <w:pPr>
        <w:ind w:left="2160" w:hanging="360"/>
      </w:pPr>
      <w:rPr>
        <w:rFonts w:ascii="&quot;Trebuchet MS&quot;,sans-serif" w:hAnsi="&quot;Trebuchet MS&quot;,sans-serif" w:hint="default"/>
      </w:rPr>
    </w:lvl>
    <w:lvl w:ilvl="3" w:tplc="209A1DBE">
      <w:start w:val="1"/>
      <w:numFmt w:val="bullet"/>
      <w:lvlText w:val=""/>
      <w:lvlJc w:val="left"/>
      <w:pPr>
        <w:ind w:left="2880" w:hanging="360"/>
      </w:pPr>
      <w:rPr>
        <w:rFonts w:ascii="Symbol" w:hAnsi="Symbol" w:hint="default"/>
      </w:rPr>
    </w:lvl>
    <w:lvl w:ilvl="4" w:tplc="4BD20AD4">
      <w:start w:val="1"/>
      <w:numFmt w:val="bullet"/>
      <w:lvlText w:val="o"/>
      <w:lvlJc w:val="left"/>
      <w:pPr>
        <w:ind w:left="3600" w:hanging="360"/>
      </w:pPr>
      <w:rPr>
        <w:rFonts w:ascii="Courier New" w:hAnsi="Courier New" w:hint="default"/>
      </w:rPr>
    </w:lvl>
    <w:lvl w:ilvl="5" w:tplc="E74019C4">
      <w:start w:val="1"/>
      <w:numFmt w:val="bullet"/>
      <w:lvlText w:val=""/>
      <w:lvlJc w:val="left"/>
      <w:pPr>
        <w:ind w:left="4320" w:hanging="360"/>
      </w:pPr>
      <w:rPr>
        <w:rFonts w:ascii="Wingdings" w:hAnsi="Wingdings" w:hint="default"/>
      </w:rPr>
    </w:lvl>
    <w:lvl w:ilvl="6" w:tplc="CCF8CAAC">
      <w:start w:val="1"/>
      <w:numFmt w:val="bullet"/>
      <w:lvlText w:val=""/>
      <w:lvlJc w:val="left"/>
      <w:pPr>
        <w:ind w:left="5040" w:hanging="360"/>
      </w:pPr>
      <w:rPr>
        <w:rFonts w:ascii="Symbol" w:hAnsi="Symbol" w:hint="default"/>
      </w:rPr>
    </w:lvl>
    <w:lvl w:ilvl="7" w:tplc="B372AF06">
      <w:start w:val="1"/>
      <w:numFmt w:val="bullet"/>
      <w:lvlText w:val="o"/>
      <w:lvlJc w:val="left"/>
      <w:pPr>
        <w:ind w:left="5760" w:hanging="360"/>
      </w:pPr>
      <w:rPr>
        <w:rFonts w:ascii="Courier New" w:hAnsi="Courier New" w:hint="default"/>
      </w:rPr>
    </w:lvl>
    <w:lvl w:ilvl="8" w:tplc="FD94AA24">
      <w:start w:val="1"/>
      <w:numFmt w:val="bullet"/>
      <w:lvlText w:val=""/>
      <w:lvlJc w:val="left"/>
      <w:pPr>
        <w:ind w:left="6480" w:hanging="360"/>
      </w:pPr>
      <w:rPr>
        <w:rFonts w:ascii="Wingdings" w:hAnsi="Wingdings" w:hint="default"/>
      </w:rPr>
    </w:lvl>
  </w:abstractNum>
  <w:abstractNum w:abstractNumId="4" w15:restartNumberingAfterBreak="0">
    <w:nsid w:val="382EA1C6"/>
    <w:multiLevelType w:val="hybridMultilevel"/>
    <w:tmpl w:val="1D70D6D4"/>
    <w:lvl w:ilvl="0" w:tplc="307EBA56">
      <w:start w:val="1"/>
      <w:numFmt w:val="bullet"/>
      <w:lvlText w:val=""/>
      <w:lvlJc w:val="left"/>
      <w:pPr>
        <w:ind w:left="720" w:hanging="360"/>
      </w:pPr>
      <w:rPr>
        <w:rFonts w:ascii="Symbol" w:hAnsi="Symbol" w:hint="default"/>
      </w:rPr>
    </w:lvl>
    <w:lvl w:ilvl="1" w:tplc="F98C37B4">
      <w:start w:val="1"/>
      <w:numFmt w:val="bullet"/>
      <w:lvlText w:val="o"/>
      <w:lvlJc w:val="left"/>
      <w:pPr>
        <w:ind w:left="1440" w:hanging="360"/>
      </w:pPr>
      <w:rPr>
        <w:rFonts w:ascii="Courier New" w:hAnsi="Courier New" w:hint="default"/>
      </w:rPr>
    </w:lvl>
    <w:lvl w:ilvl="2" w:tplc="76E847BC">
      <w:start w:val="1"/>
      <w:numFmt w:val="bullet"/>
      <w:lvlText w:val=""/>
      <w:lvlJc w:val="left"/>
      <w:pPr>
        <w:ind w:left="2160" w:hanging="360"/>
      </w:pPr>
      <w:rPr>
        <w:rFonts w:ascii="Wingdings" w:hAnsi="Wingdings" w:hint="default"/>
      </w:rPr>
    </w:lvl>
    <w:lvl w:ilvl="3" w:tplc="5F16527C">
      <w:start w:val="1"/>
      <w:numFmt w:val="bullet"/>
      <w:lvlText w:val=""/>
      <w:lvlJc w:val="left"/>
      <w:pPr>
        <w:ind w:left="2880" w:hanging="360"/>
      </w:pPr>
      <w:rPr>
        <w:rFonts w:ascii="Symbol" w:hAnsi="Symbol" w:hint="default"/>
      </w:rPr>
    </w:lvl>
    <w:lvl w:ilvl="4" w:tplc="D1E020CE">
      <w:start w:val="1"/>
      <w:numFmt w:val="bullet"/>
      <w:lvlText w:val="o"/>
      <w:lvlJc w:val="left"/>
      <w:pPr>
        <w:ind w:left="3600" w:hanging="360"/>
      </w:pPr>
      <w:rPr>
        <w:rFonts w:ascii="Courier New" w:hAnsi="Courier New" w:hint="default"/>
      </w:rPr>
    </w:lvl>
    <w:lvl w:ilvl="5" w:tplc="02C0F602">
      <w:start w:val="1"/>
      <w:numFmt w:val="bullet"/>
      <w:lvlText w:val=""/>
      <w:lvlJc w:val="left"/>
      <w:pPr>
        <w:ind w:left="4320" w:hanging="360"/>
      </w:pPr>
      <w:rPr>
        <w:rFonts w:ascii="Wingdings" w:hAnsi="Wingdings" w:hint="default"/>
      </w:rPr>
    </w:lvl>
    <w:lvl w:ilvl="6" w:tplc="2E06EF42">
      <w:start w:val="1"/>
      <w:numFmt w:val="bullet"/>
      <w:lvlText w:val=""/>
      <w:lvlJc w:val="left"/>
      <w:pPr>
        <w:ind w:left="5040" w:hanging="360"/>
      </w:pPr>
      <w:rPr>
        <w:rFonts w:ascii="Symbol" w:hAnsi="Symbol" w:hint="default"/>
      </w:rPr>
    </w:lvl>
    <w:lvl w:ilvl="7" w:tplc="35B27172">
      <w:start w:val="1"/>
      <w:numFmt w:val="bullet"/>
      <w:lvlText w:val="o"/>
      <w:lvlJc w:val="left"/>
      <w:pPr>
        <w:ind w:left="5760" w:hanging="360"/>
      </w:pPr>
      <w:rPr>
        <w:rFonts w:ascii="Courier New" w:hAnsi="Courier New" w:hint="default"/>
      </w:rPr>
    </w:lvl>
    <w:lvl w:ilvl="8" w:tplc="ADF668B0">
      <w:start w:val="1"/>
      <w:numFmt w:val="bullet"/>
      <w:lvlText w:val=""/>
      <w:lvlJc w:val="left"/>
      <w:pPr>
        <w:ind w:left="6480" w:hanging="360"/>
      </w:pPr>
      <w:rPr>
        <w:rFonts w:ascii="Wingdings" w:hAnsi="Wingdings" w:hint="default"/>
      </w:rPr>
    </w:lvl>
  </w:abstractNum>
  <w:abstractNum w:abstractNumId="5" w15:restartNumberingAfterBreak="0">
    <w:nsid w:val="3A6B6C7B"/>
    <w:multiLevelType w:val="multilevel"/>
    <w:tmpl w:val="D21A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9325C4"/>
    <w:multiLevelType w:val="multilevel"/>
    <w:tmpl w:val="2424D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E425A0"/>
    <w:multiLevelType w:val="hybridMultilevel"/>
    <w:tmpl w:val="D5EC5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D3031B"/>
    <w:multiLevelType w:val="multilevel"/>
    <w:tmpl w:val="86388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72AF6C"/>
    <w:multiLevelType w:val="hybridMultilevel"/>
    <w:tmpl w:val="05226008"/>
    <w:lvl w:ilvl="0" w:tplc="9C68E400">
      <w:start w:val="1"/>
      <w:numFmt w:val="bullet"/>
      <w:lvlText w:val=""/>
      <w:lvlJc w:val="left"/>
      <w:pPr>
        <w:ind w:left="720" w:hanging="360"/>
      </w:pPr>
      <w:rPr>
        <w:rFonts w:ascii="Symbol" w:hAnsi="Symbol" w:hint="default"/>
      </w:rPr>
    </w:lvl>
    <w:lvl w:ilvl="1" w:tplc="8856C278">
      <w:start w:val="1"/>
      <w:numFmt w:val="bullet"/>
      <w:lvlText w:val="o"/>
      <w:lvlJc w:val="left"/>
      <w:pPr>
        <w:ind w:left="1440" w:hanging="360"/>
      </w:pPr>
      <w:rPr>
        <w:rFonts w:ascii="Courier New" w:hAnsi="Courier New" w:hint="default"/>
      </w:rPr>
    </w:lvl>
    <w:lvl w:ilvl="2" w:tplc="E670E494">
      <w:start w:val="1"/>
      <w:numFmt w:val="bullet"/>
      <w:lvlText w:val=""/>
      <w:lvlJc w:val="left"/>
      <w:pPr>
        <w:ind w:left="2160" w:hanging="360"/>
      </w:pPr>
      <w:rPr>
        <w:rFonts w:ascii="Wingdings" w:hAnsi="Wingdings" w:hint="default"/>
      </w:rPr>
    </w:lvl>
    <w:lvl w:ilvl="3" w:tplc="9814B56E">
      <w:start w:val="1"/>
      <w:numFmt w:val="bullet"/>
      <w:lvlText w:val=""/>
      <w:lvlJc w:val="left"/>
      <w:pPr>
        <w:ind w:left="2880" w:hanging="360"/>
      </w:pPr>
      <w:rPr>
        <w:rFonts w:ascii="Symbol" w:hAnsi="Symbol" w:hint="default"/>
      </w:rPr>
    </w:lvl>
    <w:lvl w:ilvl="4" w:tplc="DB5E3634">
      <w:start w:val="1"/>
      <w:numFmt w:val="bullet"/>
      <w:lvlText w:val="o"/>
      <w:lvlJc w:val="left"/>
      <w:pPr>
        <w:ind w:left="3600" w:hanging="360"/>
      </w:pPr>
      <w:rPr>
        <w:rFonts w:ascii="Courier New" w:hAnsi="Courier New" w:hint="default"/>
      </w:rPr>
    </w:lvl>
    <w:lvl w:ilvl="5" w:tplc="E634ECDC">
      <w:start w:val="1"/>
      <w:numFmt w:val="bullet"/>
      <w:lvlText w:val=""/>
      <w:lvlJc w:val="left"/>
      <w:pPr>
        <w:ind w:left="4320" w:hanging="360"/>
      </w:pPr>
      <w:rPr>
        <w:rFonts w:ascii="Wingdings" w:hAnsi="Wingdings" w:hint="default"/>
      </w:rPr>
    </w:lvl>
    <w:lvl w:ilvl="6" w:tplc="74683FC0">
      <w:start w:val="1"/>
      <w:numFmt w:val="bullet"/>
      <w:lvlText w:val=""/>
      <w:lvlJc w:val="left"/>
      <w:pPr>
        <w:ind w:left="5040" w:hanging="360"/>
      </w:pPr>
      <w:rPr>
        <w:rFonts w:ascii="Symbol" w:hAnsi="Symbol" w:hint="default"/>
      </w:rPr>
    </w:lvl>
    <w:lvl w:ilvl="7" w:tplc="19449E38">
      <w:start w:val="1"/>
      <w:numFmt w:val="bullet"/>
      <w:lvlText w:val="o"/>
      <w:lvlJc w:val="left"/>
      <w:pPr>
        <w:ind w:left="5760" w:hanging="360"/>
      </w:pPr>
      <w:rPr>
        <w:rFonts w:ascii="Courier New" w:hAnsi="Courier New" w:hint="default"/>
      </w:rPr>
    </w:lvl>
    <w:lvl w:ilvl="8" w:tplc="5C3E4F78">
      <w:start w:val="1"/>
      <w:numFmt w:val="bullet"/>
      <w:lvlText w:val=""/>
      <w:lvlJc w:val="left"/>
      <w:pPr>
        <w:ind w:left="6480" w:hanging="360"/>
      </w:pPr>
      <w:rPr>
        <w:rFonts w:ascii="Wingdings" w:hAnsi="Wingdings" w:hint="default"/>
      </w:rPr>
    </w:lvl>
  </w:abstractNum>
  <w:num w:numId="1" w16cid:durableId="712198772">
    <w:abstractNumId w:val="0"/>
  </w:num>
  <w:num w:numId="2" w16cid:durableId="277833249">
    <w:abstractNumId w:val="3"/>
  </w:num>
  <w:num w:numId="3" w16cid:durableId="145587007">
    <w:abstractNumId w:val="4"/>
  </w:num>
  <w:num w:numId="4" w16cid:durableId="560554663">
    <w:abstractNumId w:val="9"/>
  </w:num>
  <w:num w:numId="5" w16cid:durableId="1596279384">
    <w:abstractNumId w:val="1"/>
  </w:num>
  <w:num w:numId="6" w16cid:durableId="1203831617">
    <w:abstractNumId w:val="6"/>
  </w:num>
  <w:num w:numId="7" w16cid:durableId="1912427017">
    <w:abstractNumId w:val="5"/>
  </w:num>
  <w:num w:numId="8" w16cid:durableId="1197083698">
    <w:abstractNumId w:val="2"/>
  </w:num>
  <w:num w:numId="9" w16cid:durableId="87772457">
    <w:abstractNumId w:val="8"/>
  </w:num>
  <w:num w:numId="10" w16cid:durableId="19457652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160"/>
    <w:rsid w:val="00001B46"/>
    <w:rsid w:val="0000599E"/>
    <w:rsid w:val="000213A1"/>
    <w:rsid w:val="00035B81"/>
    <w:rsid w:val="00053788"/>
    <w:rsid w:val="00075369"/>
    <w:rsid w:val="00080CC6"/>
    <w:rsid w:val="00097C9E"/>
    <w:rsid w:val="000B5D62"/>
    <w:rsid w:val="000C0105"/>
    <w:rsid w:val="000C589D"/>
    <w:rsid w:val="000F7F57"/>
    <w:rsid w:val="00104EF2"/>
    <w:rsid w:val="00106750"/>
    <w:rsid w:val="00114F7A"/>
    <w:rsid w:val="00120652"/>
    <w:rsid w:val="00135D8E"/>
    <w:rsid w:val="00180810"/>
    <w:rsid w:val="00183CA2"/>
    <w:rsid w:val="001F2F04"/>
    <w:rsid w:val="001F47E4"/>
    <w:rsid w:val="001F536B"/>
    <w:rsid w:val="00213FA6"/>
    <w:rsid w:val="00217ECD"/>
    <w:rsid w:val="002329B5"/>
    <w:rsid w:val="00233958"/>
    <w:rsid w:val="0023651A"/>
    <w:rsid w:val="0025060A"/>
    <w:rsid w:val="0025626C"/>
    <w:rsid w:val="002D3EFA"/>
    <w:rsid w:val="002E0F8F"/>
    <w:rsid w:val="00302535"/>
    <w:rsid w:val="0030550E"/>
    <w:rsid w:val="0034042E"/>
    <w:rsid w:val="00347673"/>
    <w:rsid w:val="00355695"/>
    <w:rsid w:val="00362D7A"/>
    <w:rsid w:val="00365739"/>
    <w:rsid w:val="00374E7E"/>
    <w:rsid w:val="00381B94"/>
    <w:rsid w:val="003912A7"/>
    <w:rsid w:val="003A6F66"/>
    <w:rsid w:val="003B5E28"/>
    <w:rsid w:val="003B6A6A"/>
    <w:rsid w:val="003B799C"/>
    <w:rsid w:val="003D0187"/>
    <w:rsid w:val="003D6577"/>
    <w:rsid w:val="003E5665"/>
    <w:rsid w:val="003F2F8C"/>
    <w:rsid w:val="00401ED2"/>
    <w:rsid w:val="004206F2"/>
    <w:rsid w:val="00422A1D"/>
    <w:rsid w:val="00457F7E"/>
    <w:rsid w:val="00460879"/>
    <w:rsid w:val="00477EE2"/>
    <w:rsid w:val="004A003C"/>
    <w:rsid w:val="004C31E3"/>
    <w:rsid w:val="004C48F2"/>
    <w:rsid w:val="004E359A"/>
    <w:rsid w:val="005204DF"/>
    <w:rsid w:val="00520A1C"/>
    <w:rsid w:val="0052747F"/>
    <w:rsid w:val="00555D11"/>
    <w:rsid w:val="005769F5"/>
    <w:rsid w:val="005A4632"/>
    <w:rsid w:val="005B5AC0"/>
    <w:rsid w:val="005B61EA"/>
    <w:rsid w:val="005D5DDE"/>
    <w:rsid w:val="005E2A95"/>
    <w:rsid w:val="005E5C19"/>
    <w:rsid w:val="005F3EAF"/>
    <w:rsid w:val="006213FB"/>
    <w:rsid w:val="006265FB"/>
    <w:rsid w:val="00635B5D"/>
    <w:rsid w:val="00636B0A"/>
    <w:rsid w:val="006428B1"/>
    <w:rsid w:val="00646977"/>
    <w:rsid w:val="00682275"/>
    <w:rsid w:val="006A2445"/>
    <w:rsid w:val="006F226E"/>
    <w:rsid w:val="00722A94"/>
    <w:rsid w:val="00761116"/>
    <w:rsid w:val="007632BC"/>
    <w:rsid w:val="007970AE"/>
    <w:rsid w:val="007A4DE8"/>
    <w:rsid w:val="007B2EC7"/>
    <w:rsid w:val="007C25AD"/>
    <w:rsid w:val="0080683C"/>
    <w:rsid w:val="00814A9C"/>
    <w:rsid w:val="00816A2B"/>
    <w:rsid w:val="0085400E"/>
    <w:rsid w:val="008544F4"/>
    <w:rsid w:val="00856F8E"/>
    <w:rsid w:val="00861D49"/>
    <w:rsid w:val="008808E1"/>
    <w:rsid w:val="00884DAD"/>
    <w:rsid w:val="0088549D"/>
    <w:rsid w:val="0089325B"/>
    <w:rsid w:val="008977BD"/>
    <w:rsid w:val="00897965"/>
    <w:rsid w:val="008B1077"/>
    <w:rsid w:val="008B6D11"/>
    <w:rsid w:val="008C2A16"/>
    <w:rsid w:val="008C3FD1"/>
    <w:rsid w:val="008C4EE2"/>
    <w:rsid w:val="008C5938"/>
    <w:rsid w:val="0091498A"/>
    <w:rsid w:val="0095479B"/>
    <w:rsid w:val="009625CA"/>
    <w:rsid w:val="00963FF3"/>
    <w:rsid w:val="009743F5"/>
    <w:rsid w:val="00982F2A"/>
    <w:rsid w:val="009A5A87"/>
    <w:rsid w:val="009B6610"/>
    <w:rsid w:val="009C1436"/>
    <w:rsid w:val="009D31C2"/>
    <w:rsid w:val="009F2DE2"/>
    <w:rsid w:val="00A00E28"/>
    <w:rsid w:val="00A0258E"/>
    <w:rsid w:val="00A42D83"/>
    <w:rsid w:val="00A85E0F"/>
    <w:rsid w:val="00A86DD9"/>
    <w:rsid w:val="00A9515C"/>
    <w:rsid w:val="00AA5D3B"/>
    <w:rsid w:val="00AB67C7"/>
    <w:rsid w:val="00AC0F00"/>
    <w:rsid w:val="00AC1BC8"/>
    <w:rsid w:val="00AD2160"/>
    <w:rsid w:val="00AD7122"/>
    <w:rsid w:val="00AD74A9"/>
    <w:rsid w:val="00AE0F3A"/>
    <w:rsid w:val="00B32647"/>
    <w:rsid w:val="00B510EC"/>
    <w:rsid w:val="00B56FCB"/>
    <w:rsid w:val="00B60D26"/>
    <w:rsid w:val="00B74D50"/>
    <w:rsid w:val="00BA2E10"/>
    <w:rsid w:val="00BA4237"/>
    <w:rsid w:val="00BBD52A"/>
    <w:rsid w:val="00BC07C7"/>
    <w:rsid w:val="00BD7698"/>
    <w:rsid w:val="00BF465B"/>
    <w:rsid w:val="00C00D24"/>
    <w:rsid w:val="00C4394E"/>
    <w:rsid w:val="00C876EA"/>
    <w:rsid w:val="00C934E3"/>
    <w:rsid w:val="00CA21DD"/>
    <w:rsid w:val="00CB6AD2"/>
    <w:rsid w:val="00CC145F"/>
    <w:rsid w:val="00CC5320"/>
    <w:rsid w:val="00CD522F"/>
    <w:rsid w:val="00CF687F"/>
    <w:rsid w:val="00D050A1"/>
    <w:rsid w:val="00D1358E"/>
    <w:rsid w:val="00D13F74"/>
    <w:rsid w:val="00D209D7"/>
    <w:rsid w:val="00D4175D"/>
    <w:rsid w:val="00D447C1"/>
    <w:rsid w:val="00D72407"/>
    <w:rsid w:val="00D85F03"/>
    <w:rsid w:val="00D92ECE"/>
    <w:rsid w:val="00D933C1"/>
    <w:rsid w:val="00DA1C64"/>
    <w:rsid w:val="00DB0B88"/>
    <w:rsid w:val="00DB0C93"/>
    <w:rsid w:val="00DB4776"/>
    <w:rsid w:val="00DD7665"/>
    <w:rsid w:val="00DE6AC9"/>
    <w:rsid w:val="00DE728D"/>
    <w:rsid w:val="00DF281A"/>
    <w:rsid w:val="00E30BFA"/>
    <w:rsid w:val="00E46DA9"/>
    <w:rsid w:val="00E87D1B"/>
    <w:rsid w:val="00E95BB5"/>
    <w:rsid w:val="00EA0442"/>
    <w:rsid w:val="00EA2873"/>
    <w:rsid w:val="00EC5469"/>
    <w:rsid w:val="00ED0F23"/>
    <w:rsid w:val="00F23805"/>
    <w:rsid w:val="00F32C54"/>
    <w:rsid w:val="00F413C0"/>
    <w:rsid w:val="00F526EC"/>
    <w:rsid w:val="00F67418"/>
    <w:rsid w:val="00F73CD4"/>
    <w:rsid w:val="00F824CB"/>
    <w:rsid w:val="00FA0F91"/>
    <w:rsid w:val="00FD793E"/>
    <w:rsid w:val="00FF4F3B"/>
    <w:rsid w:val="00FF664D"/>
    <w:rsid w:val="02AA02D3"/>
    <w:rsid w:val="02EF1688"/>
    <w:rsid w:val="02F24A35"/>
    <w:rsid w:val="0310308C"/>
    <w:rsid w:val="03B3A861"/>
    <w:rsid w:val="03BE2ABA"/>
    <w:rsid w:val="04208A36"/>
    <w:rsid w:val="042DBC90"/>
    <w:rsid w:val="06414735"/>
    <w:rsid w:val="08212567"/>
    <w:rsid w:val="08DF0F3B"/>
    <w:rsid w:val="08E504C5"/>
    <w:rsid w:val="096DD5B7"/>
    <w:rsid w:val="09F25B98"/>
    <w:rsid w:val="0A69C97E"/>
    <w:rsid w:val="0ABC0C73"/>
    <w:rsid w:val="0B77EC4F"/>
    <w:rsid w:val="0D5C54FC"/>
    <w:rsid w:val="0DAA0E11"/>
    <w:rsid w:val="0EBD4C3A"/>
    <w:rsid w:val="0F1993AA"/>
    <w:rsid w:val="0F51AFA6"/>
    <w:rsid w:val="0FAA3E7A"/>
    <w:rsid w:val="0FFEF6E5"/>
    <w:rsid w:val="10B9BBA5"/>
    <w:rsid w:val="10CA4934"/>
    <w:rsid w:val="12E90015"/>
    <w:rsid w:val="13D923FD"/>
    <w:rsid w:val="14719697"/>
    <w:rsid w:val="152364D6"/>
    <w:rsid w:val="15293B2F"/>
    <w:rsid w:val="156C5BEA"/>
    <w:rsid w:val="158A1B0F"/>
    <w:rsid w:val="16095E31"/>
    <w:rsid w:val="16F39720"/>
    <w:rsid w:val="170C6694"/>
    <w:rsid w:val="17B63ED7"/>
    <w:rsid w:val="18632AB5"/>
    <w:rsid w:val="199A7A58"/>
    <w:rsid w:val="1A513114"/>
    <w:rsid w:val="1A56AF85"/>
    <w:rsid w:val="1A96B757"/>
    <w:rsid w:val="1ACB8C87"/>
    <w:rsid w:val="1BC36F41"/>
    <w:rsid w:val="1C6E65D3"/>
    <w:rsid w:val="1DFDC1DC"/>
    <w:rsid w:val="1EEA83BF"/>
    <w:rsid w:val="1FE9630A"/>
    <w:rsid w:val="20766271"/>
    <w:rsid w:val="20CB0DFF"/>
    <w:rsid w:val="21022410"/>
    <w:rsid w:val="219490A3"/>
    <w:rsid w:val="21B1D7E8"/>
    <w:rsid w:val="2202FA05"/>
    <w:rsid w:val="223D8E89"/>
    <w:rsid w:val="22AC3EB6"/>
    <w:rsid w:val="24F0996A"/>
    <w:rsid w:val="2606BC0B"/>
    <w:rsid w:val="26C81A0E"/>
    <w:rsid w:val="26CECFB6"/>
    <w:rsid w:val="26E75B2E"/>
    <w:rsid w:val="272430C2"/>
    <w:rsid w:val="27C7E1DB"/>
    <w:rsid w:val="2852A91D"/>
    <w:rsid w:val="2904100D"/>
    <w:rsid w:val="290FCBD6"/>
    <w:rsid w:val="29223879"/>
    <w:rsid w:val="2A8A4732"/>
    <w:rsid w:val="2AC21018"/>
    <w:rsid w:val="2B7F6266"/>
    <w:rsid w:val="2BE6F24F"/>
    <w:rsid w:val="2CFEDB6D"/>
    <w:rsid w:val="2D28784B"/>
    <w:rsid w:val="2E54E417"/>
    <w:rsid w:val="2ED0B7CA"/>
    <w:rsid w:val="2F132645"/>
    <w:rsid w:val="2FFAB970"/>
    <w:rsid w:val="30A15A7B"/>
    <w:rsid w:val="31482935"/>
    <w:rsid w:val="3170A927"/>
    <w:rsid w:val="3184A64E"/>
    <w:rsid w:val="31D32A8A"/>
    <w:rsid w:val="31EA71FE"/>
    <w:rsid w:val="32A00861"/>
    <w:rsid w:val="32A5124B"/>
    <w:rsid w:val="3340D6EC"/>
    <w:rsid w:val="34898412"/>
    <w:rsid w:val="35937CD1"/>
    <w:rsid w:val="37FF23B1"/>
    <w:rsid w:val="385E5E8F"/>
    <w:rsid w:val="39933C32"/>
    <w:rsid w:val="3A5F49C3"/>
    <w:rsid w:val="3BAD08EF"/>
    <w:rsid w:val="3C1B4CFD"/>
    <w:rsid w:val="3C34922D"/>
    <w:rsid w:val="3CBDD1BD"/>
    <w:rsid w:val="3E00E3E7"/>
    <w:rsid w:val="40A3FE87"/>
    <w:rsid w:val="40CB25AE"/>
    <w:rsid w:val="415F3900"/>
    <w:rsid w:val="41608351"/>
    <w:rsid w:val="44477283"/>
    <w:rsid w:val="45067A76"/>
    <w:rsid w:val="4564B8AE"/>
    <w:rsid w:val="45781D5D"/>
    <w:rsid w:val="45813998"/>
    <w:rsid w:val="46E61A85"/>
    <w:rsid w:val="48E73C06"/>
    <w:rsid w:val="48F699DC"/>
    <w:rsid w:val="4964575A"/>
    <w:rsid w:val="49B561AF"/>
    <w:rsid w:val="4AE52C23"/>
    <w:rsid w:val="4B2EADE2"/>
    <w:rsid w:val="4CA5F2C1"/>
    <w:rsid w:val="4E187EB3"/>
    <w:rsid w:val="4E1C0B4C"/>
    <w:rsid w:val="4E8AAD5D"/>
    <w:rsid w:val="4ECA71B1"/>
    <w:rsid w:val="4EE886C2"/>
    <w:rsid w:val="4F1CF6AF"/>
    <w:rsid w:val="503063C1"/>
    <w:rsid w:val="50E2F8A4"/>
    <w:rsid w:val="5149EF50"/>
    <w:rsid w:val="51953C76"/>
    <w:rsid w:val="5264D3EC"/>
    <w:rsid w:val="52BF609C"/>
    <w:rsid w:val="5447347D"/>
    <w:rsid w:val="54AF79EE"/>
    <w:rsid w:val="54E79D97"/>
    <w:rsid w:val="567C0210"/>
    <w:rsid w:val="5704EDEA"/>
    <w:rsid w:val="5705200E"/>
    <w:rsid w:val="58CD0F99"/>
    <w:rsid w:val="5921821A"/>
    <w:rsid w:val="597817B6"/>
    <w:rsid w:val="598121A9"/>
    <w:rsid w:val="5AE4129D"/>
    <w:rsid w:val="5B6F8C67"/>
    <w:rsid w:val="5BDEDCFD"/>
    <w:rsid w:val="5BEBAB40"/>
    <w:rsid w:val="5C267F2E"/>
    <w:rsid w:val="5CD6F62A"/>
    <w:rsid w:val="5F7F3766"/>
    <w:rsid w:val="5F9E91AE"/>
    <w:rsid w:val="5FE487B7"/>
    <w:rsid w:val="5FE86774"/>
    <w:rsid w:val="60D723A4"/>
    <w:rsid w:val="60EFAADC"/>
    <w:rsid w:val="619335E6"/>
    <w:rsid w:val="61A8A4ED"/>
    <w:rsid w:val="621142DD"/>
    <w:rsid w:val="622FDBF5"/>
    <w:rsid w:val="62AEE95B"/>
    <w:rsid w:val="6369C85A"/>
    <w:rsid w:val="64C9ECBB"/>
    <w:rsid w:val="65665BBD"/>
    <w:rsid w:val="657F051A"/>
    <w:rsid w:val="65D1B3C7"/>
    <w:rsid w:val="672759F4"/>
    <w:rsid w:val="677E34FF"/>
    <w:rsid w:val="678CCB60"/>
    <w:rsid w:val="688BD64D"/>
    <w:rsid w:val="696BE15F"/>
    <w:rsid w:val="697207BB"/>
    <w:rsid w:val="69882222"/>
    <w:rsid w:val="6A39F455"/>
    <w:rsid w:val="6A5C65CB"/>
    <w:rsid w:val="6B21D193"/>
    <w:rsid w:val="6D236E3A"/>
    <w:rsid w:val="6E7983C3"/>
    <w:rsid w:val="6E7A0D18"/>
    <w:rsid w:val="7097A081"/>
    <w:rsid w:val="70C02027"/>
    <w:rsid w:val="70E37CCE"/>
    <w:rsid w:val="7109F3BD"/>
    <w:rsid w:val="711F43A5"/>
    <w:rsid w:val="719CFAC4"/>
    <w:rsid w:val="721EFCA2"/>
    <w:rsid w:val="7287797B"/>
    <w:rsid w:val="72CA1225"/>
    <w:rsid w:val="72E9EB7B"/>
    <w:rsid w:val="73349609"/>
    <w:rsid w:val="73E53710"/>
    <w:rsid w:val="7433C8C2"/>
    <w:rsid w:val="748D6157"/>
    <w:rsid w:val="752D7641"/>
    <w:rsid w:val="755FBE77"/>
    <w:rsid w:val="764473C5"/>
    <w:rsid w:val="7657873A"/>
    <w:rsid w:val="7690D17B"/>
    <w:rsid w:val="76E6D6BE"/>
    <w:rsid w:val="7755AAC7"/>
    <w:rsid w:val="77C6176D"/>
    <w:rsid w:val="78582217"/>
    <w:rsid w:val="78845F84"/>
    <w:rsid w:val="78FBAD2C"/>
    <w:rsid w:val="7920780C"/>
    <w:rsid w:val="798D6923"/>
    <w:rsid w:val="79B8DB4F"/>
    <w:rsid w:val="79C994AD"/>
    <w:rsid w:val="79D01BF5"/>
    <w:rsid w:val="7A610FF9"/>
    <w:rsid w:val="7BCFAC48"/>
    <w:rsid w:val="7C68D288"/>
    <w:rsid w:val="7CBC2718"/>
    <w:rsid w:val="7D0558A7"/>
    <w:rsid w:val="7D3E3005"/>
    <w:rsid w:val="7F073CF4"/>
    <w:rsid w:val="7FACC4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5B0E7"/>
  <w15:chartTrackingRefBased/>
  <w15:docId w15:val="{32C1D188-5817-4D2C-8249-8DC5A4501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1A96B75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uiPriority w:val="9"/>
    <w:unhideWhenUsed/>
    <w:qFormat/>
    <w:rsid w:val="1A96B75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A6F6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7D1B"/>
    <w:rPr>
      <w:color w:val="0563C1" w:themeColor="hyperlink"/>
      <w:u w:val="single"/>
    </w:rPr>
  </w:style>
  <w:style w:type="paragraph" w:styleId="Subtitle">
    <w:name w:val="Subtitle"/>
    <w:basedOn w:val="Normal"/>
    <w:next w:val="Normal"/>
    <w:uiPriority w:val="11"/>
    <w:qFormat/>
    <w:rsid w:val="1A96B757"/>
    <w:rPr>
      <w:rFonts w:eastAsiaTheme="majorEastAsia" w:cstheme="majorBidi"/>
      <w:color w:val="595959" w:themeColor="text1" w:themeTint="A6"/>
      <w:sz w:val="28"/>
      <w:szCs w:val="28"/>
    </w:rPr>
  </w:style>
  <w:style w:type="paragraph" w:styleId="ListParagraph">
    <w:name w:val="List Paragraph"/>
    <w:basedOn w:val="Normal"/>
    <w:uiPriority w:val="34"/>
    <w:qFormat/>
    <w:rsid w:val="1A96B757"/>
    <w:pPr>
      <w:ind w:left="720"/>
      <w:contextualSpacing/>
    </w:pPr>
  </w:style>
  <w:style w:type="character" w:customStyle="1" w:styleId="UnresolvedMention1">
    <w:name w:val="Unresolved Mention1"/>
    <w:basedOn w:val="DefaultParagraphFont"/>
    <w:uiPriority w:val="99"/>
    <w:semiHidden/>
    <w:unhideWhenUsed/>
    <w:rsid w:val="008C3FD1"/>
    <w:rPr>
      <w:color w:val="605E5C"/>
      <w:shd w:val="clear" w:color="auto" w:fill="E1DFDD"/>
    </w:rPr>
  </w:style>
  <w:style w:type="character" w:customStyle="1" w:styleId="Heading3Char">
    <w:name w:val="Heading 3 Char"/>
    <w:basedOn w:val="DefaultParagraphFont"/>
    <w:link w:val="Heading3"/>
    <w:uiPriority w:val="9"/>
    <w:semiHidden/>
    <w:rsid w:val="003A6F66"/>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B510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0EC"/>
  </w:style>
  <w:style w:type="paragraph" w:styleId="Footer">
    <w:name w:val="footer"/>
    <w:basedOn w:val="Normal"/>
    <w:link w:val="FooterChar"/>
    <w:uiPriority w:val="99"/>
    <w:unhideWhenUsed/>
    <w:rsid w:val="00B510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0EC"/>
  </w:style>
  <w:style w:type="character" w:styleId="Emphasis">
    <w:name w:val="Emphasis"/>
    <w:basedOn w:val="DefaultParagraphFont"/>
    <w:uiPriority w:val="20"/>
    <w:qFormat/>
    <w:rsid w:val="002D3E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78807">
      <w:bodyDiv w:val="1"/>
      <w:marLeft w:val="0"/>
      <w:marRight w:val="0"/>
      <w:marTop w:val="0"/>
      <w:marBottom w:val="0"/>
      <w:divBdr>
        <w:top w:val="none" w:sz="0" w:space="0" w:color="auto"/>
        <w:left w:val="none" w:sz="0" w:space="0" w:color="auto"/>
        <w:bottom w:val="none" w:sz="0" w:space="0" w:color="auto"/>
        <w:right w:val="none" w:sz="0" w:space="0" w:color="auto"/>
      </w:divBdr>
    </w:div>
    <w:div w:id="84303598">
      <w:bodyDiv w:val="1"/>
      <w:marLeft w:val="0"/>
      <w:marRight w:val="0"/>
      <w:marTop w:val="0"/>
      <w:marBottom w:val="0"/>
      <w:divBdr>
        <w:top w:val="none" w:sz="0" w:space="0" w:color="auto"/>
        <w:left w:val="none" w:sz="0" w:space="0" w:color="auto"/>
        <w:bottom w:val="none" w:sz="0" w:space="0" w:color="auto"/>
        <w:right w:val="none" w:sz="0" w:space="0" w:color="auto"/>
      </w:divBdr>
    </w:div>
    <w:div w:id="559635251">
      <w:bodyDiv w:val="1"/>
      <w:marLeft w:val="0"/>
      <w:marRight w:val="0"/>
      <w:marTop w:val="0"/>
      <w:marBottom w:val="0"/>
      <w:divBdr>
        <w:top w:val="none" w:sz="0" w:space="0" w:color="auto"/>
        <w:left w:val="none" w:sz="0" w:space="0" w:color="auto"/>
        <w:bottom w:val="none" w:sz="0" w:space="0" w:color="auto"/>
        <w:right w:val="none" w:sz="0" w:space="0" w:color="auto"/>
      </w:divBdr>
    </w:div>
    <w:div w:id="624971324">
      <w:bodyDiv w:val="1"/>
      <w:marLeft w:val="0"/>
      <w:marRight w:val="0"/>
      <w:marTop w:val="0"/>
      <w:marBottom w:val="0"/>
      <w:divBdr>
        <w:top w:val="none" w:sz="0" w:space="0" w:color="auto"/>
        <w:left w:val="none" w:sz="0" w:space="0" w:color="auto"/>
        <w:bottom w:val="none" w:sz="0" w:space="0" w:color="auto"/>
        <w:right w:val="none" w:sz="0" w:space="0" w:color="auto"/>
      </w:divBdr>
    </w:div>
    <w:div w:id="739865380">
      <w:bodyDiv w:val="1"/>
      <w:marLeft w:val="0"/>
      <w:marRight w:val="0"/>
      <w:marTop w:val="0"/>
      <w:marBottom w:val="0"/>
      <w:divBdr>
        <w:top w:val="none" w:sz="0" w:space="0" w:color="auto"/>
        <w:left w:val="none" w:sz="0" w:space="0" w:color="auto"/>
        <w:bottom w:val="none" w:sz="0" w:space="0" w:color="auto"/>
        <w:right w:val="none" w:sz="0" w:space="0" w:color="auto"/>
      </w:divBdr>
    </w:div>
    <w:div w:id="748384615">
      <w:bodyDiv w:val="1"/>
      <w:marLeft w:val="0"/>
      <w:marRight w:val="0"/>
      <w:marTop w:val="0"/>
      <w:marBottom w:val="0"/>
      <w:divBdr>
        <w:top w:val="none" w:sz="0" w:space="0" w:color="auto"/>
        <w:left w:val="none" w:sz="0" w:space="0" w:color="auto"/>
        <w:bottom w:val="none" w:sz="0" w:space="0" w:color="auto"/>
        <w:right w:val="none" w:sz="0" w:space="0" w:color="auto"/>
      </w:divBdr>
    </w:div>
    <w:div w:id="971593220">
      <w:bodyDiv w:val="1"/>
      <w:marLeft w:val="0"/>
      <w:marRight w:val="0"/>
      <w:marTop w:val="0"/>
      <w:marBottom w:val="0"/>
      <w:divBdr>
        <w:top w:val="none" w:sz="0" w:space="0" w:color="auto"/>
        <w:left w:val="none" w:sz="0" w:space="0" w:color="auto"/>
        <w:bottom w:val="none" w:sz="0" w:space="0" w:color="auto"/>
        <w:right w:val="none" w:sz="0" w:space="0" w:color="auto"/>
      </w:divBdr>
    </w:div>
    <w:div w:id="1474101752">
      <w:bodyDiv w:val="1"/>
      <w:marLeft w:val="0"/>
      <w:marRight w:val="0"/>
      <w:marTop w:val="0"/>
      <w:marBottom w:val="0"/>
      <w:divBdr>
        <w:top w:val="none" w:sz="0" w:space="0" w:color="auto"/>
        <w:left w:val="none" w:sz="0" w:space="0" w:color="auto"/>
        <w:bottom w:val="none" w:sz="0" w:space="0" w:color="auto"/>
        <w:right w:val="none" w:sz="0" w:space="0" w:color="auto"/>
      </w:divBdr>
    </w:div>
    <w:div w:id="182138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nvur.it/en/data-and-publications/university-system-indicators" TargetMode="External"/><Relationship Id="rId18" Type="http://schemas.openxmlformats.org/officeDocument/2006/relationships/hyperlink" Target="https://euraxess.ec.europa.eu/hrexcellenceaward"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coara.org/" TargetMode="External"/><Relationship Id="rId17" Type="http://schemas.openxmlformats.org/officeDocument/2006/relationships/hyperlink" Target="https://euraxess.ec.europa.eu/hrexcellenceaward/european-charter-researchers" TargetMode="External"/><Relationship Id="rId2" Type="http://schemas.openxmlformats.org/officeDocument/2006/relationships/customXml" Target="../customXml/item2.xml"/><Relationship Id="rId16" Type="http://schemas.openxmlformats.org/officeDocument/2006/relationships/hyperlink" Target="https://www.coara.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axess.ec.europa.eu/hrexcellenceaward" TargetMode="External"/><Relationship Id="rId5" Type="http://schemas.openxmlformats.org/officeDocument/2006/relationships/styles" Target="styles.xml"/><Relationship Id="rId15" Type="http://schemas.openxmlformats.org/officeDocument/2006/relationships/hyperlink" Target="https://euraxess.ec.europa.eu/hrexcellenceaward/european-charter-researchers" TargetMode="External"/><Relationship Id="rId10" Type="http://schemas.openxmlformats.org/officeDocument/2006/relationships/hyperlink" Target="https://ulysseus.eu/events/setting-standards-for-enhancing-universities-reputation-and-attractiveness-across-the-ulysseus-european-university/"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uraxess.ec.europa.eu/hrexcellenceaward/hr-excell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F4482FD88F0847B299DE5E06622050" ma:contentTypeVersion="17" ma:contentTypeDescription="Crée un document." ma:contentTypeScope="" ma:versionID="103ec5b3332e8c62743ef64d94924168">
  <xsd:schema xmlns:xsd="http://www.w3.org/2001/XMLSchema" xmlns:xs="http://www.w3.org/2001/XMLSchema" xmlns:p="http://schemas.microsoft.com/office/2006/metadata/properties" xmlns:ns3="e99a1fc1-25b6-441c-a675-26cb6e551dea" xmlns:ns4="2ed32c4a-14bb-4a58-aaaa-39223d822c8b" targetNamespace="http://schemas.microsoft.com/office/2006/metadata/properties" ma:root="true" ma:fieldsID="b74eebefa8c565e30c78bfed1ad8fe8e" ns3:_="" ns4:_="">
    <xsd:import namespace="e99a1fc1-25b6-441c-a675-26cb6e551dea"/>
    <xsd:import namespace="2ed32c4a-14bb-4a58-aaaa-39223d822c8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9a1fc1-25b6-441c-a675-26cb6e551dea"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element name="SharingHintHash" ma:index="10" nillable="true" ma:displayName="Partage du hachage d’indicateu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d32c4a-14bb-4a58-aaaa-39223d822c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2ed32c4a-14bb-4a58-aaaa-39223d822c8b" xsi:nil="true"/>
  </documentManagement>
</p:properties>
</file>

<file path=customXml/itemProps1.xml><?xml version="1.0" encoding="utf-8"?>
<ds:datastoreItem xmlns:ds="http://schemas.openxmlformats.org/officeDocument/2006/customXml" ds:itemID="{9B26E1B4-65CA-4D51-BE80-AE5873D4C54A}">
  <ds:schemaRefs>
    <ds:schemaRef ds:uri="http://schemas.microsoft.com/sharepoint/v3/contenttype/forms"/>
  </ds:schemaRefs>
</ds:datastoreItem>
</file>

<file path=customXml/itemProps2.xml><?xml version="1.0" encoding="utf-8"?>
<ds:datastoreItem xmlns:ds="http://schemas.openxmlformats.org/officeDocument/2006/customXml" ds:itemID="{E8F40CFD-F5A7-45F5-9FB4-C9DA539C7C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9a1fc1-25b6-441c-a675-26cb6e551dea"/>
    <ds:schemaRef ds:uri="2ed32c4a-14bb-4a58-aaaa-39223d822c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A47D4F-F440-4E2D-982B-EF00893FB429}">
  <ds:schemaRefs>
    <ds:schemaRef ds:uri="http://schemas.microsoft.com/office/2006/metadata/properties"/>
    <ds:schemaRef ds:uri="http://schemas.microsoft.com/office/infopath/2007/PartnerControls"/>
    <ds:schemaRef ds:uri="2ed32c4a-14bb-4a58-aaaa-39223d822c8b"/>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1718</Words>
  <Characters>13924</Characters>
  <Application>Microsoft Office Word</Application>
  <DocSecurity>0</DocSecurity>
  <Lines>116</Lines>
  <Paragraphs>31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15611</CharactersWithSpaces>
  <SharedDoc>false</SharedDoc>
  <HLinks>
    <vt:vector size="30" baseType="variant">
      <vt:variant>
        <vt:i4>6553641</vt:i4>
      </vt:variant>
      <vt:variant>
        <vt:i4>12</vt:i4>
      </vt:variant>
      <vt:variant>
        <vt:i4>0</vt:i4>
      </vt:variant>
      <vt:variant>
        <vt:i4>5</vt:i4>
      </vt:variant>
      <vt:variant>
        <vt:lpwstr>https://euraxess.ec.europa.eu/hrexcellenceaward</vt:lpwstr>
      </vt:variant>
      <vt:variant>
        <vt:lpwstr/>
      </vt:variant>
      <vt:variant>
        <vt:i4>2490411</vt:i4>
      </vt:variant>
      <vt:variant>
        <vt:i4>9</vt:i4>
      </vt:variant>
      <vt:variant>
        <vt:i4>0</vt:i4>
      </vt:variant>
      <vt:variant>
        <vt:i4>5</vt:i4>
      </vt:variant>
      <vt:variant>
        <vt:lpwstr>https://www.coara.org/</vt:lpwstr>
      </vt:variant>
      <vt:variant>
        <vt:lpwstr/>
      </vt:variant>
      <vt:variant>
        <vt:i4>3932218</vt:i4>
      </vt:variant>
      <vt:variant>
        <vt:i4>6</vt:i4>
      </vt:variant>
      <vt:variant>
        <vt:i4>0</vt:i4>
      </vt:variant>
      <vt:variant>
        <vt:i4>5</vt:i4>
      </vt:variant>
      <vt:variant>
        <vt:lpwstr>https://www.anvur.it/en/data-and-publications/university-system-indicators</vt:lpwstr>
      </vt:variant>
      <vt:variant>
        <vt:lpwstr/>
      </vt:variant>
      <vt:variant>
        <vt:i4>2490411</vt:i4>
      </vt:variant>
      <vt:variant>
        <vt:i4>3</vt:i4>
      </vt:variant>
      <vt:variant>
        <vt:i4>0</vt:i4>
      </vt:variant>
      <vt:variant>
        <vt:i4>5</vt:i4>
      </vt:variant>
      <vt:variant>
        <vt:lpwstr>https://www.coara.org/</vt:lpwstr>
      </vt:variant>
      <vt:variant>
        <vt:lpwstr/>
      </vt:variant>
      <vt:variant>
        <vt:i4>6553641</vt:i4>
      </vt:variant>
      <vt:variant>
        <vt:i4>0</vt:i4>
      </vt:variant>
      <vt:variant>
        <vt:i4>0</vt:i4>
      </vt:variant>
      <vt:variant>
        <vt:i4>5</vt:i4>
      </vt:variant>
      <vt:variant>
        <vt:lpwstr>https://euraxess.ec.europa.eu/hrexcellenceaward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Aspire</dc:creator>
  <cp:keywords/>
  <dc:description/>
  <cp:lastModifiedBy>Koivisto Satu</cp:lastModifiedBy>
  <cp:revision>4</cp:revision>
  <dcterms:created xsi:type="dcterms:W3CDTF">2025-12-02T13:57:00Z</dcterms:created>
  <dcterms:modified xsi:type="dcterms:W3CDTF">2025-12-04T09:08:00Z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0x01010052F4482FD88F0847B299DE5E06622050</vt:lpwstr>
  </property>
</Properties>
</file>