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8605892" w14:textId="77777777" w:rsidR="00DD5EFB" w:rsidRDefault="00DD5EFB" w:rsidP="00782145">
      <w:pPr>
        <w:jc w:val="center"/>
        <w:rPr>
          <w:b/>
        </w:rPr>
      </w:pPr>
    </w:p>
    <w:p w14:paraId="3332BBDF" w14:textId="77777777" w:rsidR="000D0A8D" w:rsidRDefault="000D0A8D" w:rsidP="00782145">
      <w:pPr>
        <w:jc w:val="center"/>
        <w:rPr>
          <w:b/>
        </w:rPr>
      </w:pPr>
    </w:p>
    <w:p w14:paraId="3C5E23E4" w14:textId="77777777" w:rsidR="00782145" w:rsidRDefault="003E5547" w:rsidP="00782145">
      <w:pPr>
        <w:jc w:val="center"/>
        <w:rPr>
          <w:b/>
        </w:rPr>
      </w:pPr>
      <w:r w:rsidRPr="003E5547">
        <w:rPr>
          <w:b/>
        </w:rPr>
        <w:t>Guidelines for teachers’ matchmaking during academic staff mobility</w:t>
      </w:r>
    </w:p>
    <w:p w14:paraId="0293BF6B" w14:textId="77777777" w:rsidR="00BF20B4" w:rsidRPr="003E5547" w:rsidRDefault="003E5547" w:rsidP="00782145">
      <w:pPr>
        <w:jc w:val="center"/>
        <w:rPr>
          <w:b/>
        </w:rPr>
      </w:pPr>
      <w:r w:rsidRPr="003E5547">
        <w:rPr>
          <w:b/>
        </w:rPr>
        <w:t>(Ulysseus International Teaching Weeks)</w:t>
      </w:r>
    </w:p>
    <w:p w14:paraId="79231A53" w14:textId="77777777" w:rsidR="00290232" w:rsidRPr="001A4A8C" w:rsidRDefault="00290232" w:rsidP="001A4A8C">
      <w:pPr>
        <w:jc w:val="both"/>
        <w:rPr>
          <w:i/>
        </w:rPr>
      </w:pPr>
      <w:r w:rsidRPr="001A4A8C">
        <w:rPr>
          <w:i/>
        </w:rPr>
        <w:t>These guidelines aim to support effective matchmaking between host and incoming teachers during Ulysseus International Teaching Weeks. By fostering bottom-up engagement, pedagogical alignment, and collaborative planning, the process ensures meaningful academic exchange and strengthens institutional ties across the Ulysseus alliance.</w:t>
      </w:r>
    </w:p>
    <w:p w14:paraId="52B5D3AC" w14:textId="77777777" w:rsidR="003E5547" w:rsidRDefault="003E5547">
      <w:bookmarkStart w:id="0" w:name="_GoBack"/>
      <w:bookmarkEnd w:id="0"/>
    </w:p>
    <w:p w14:paraId="24863F15" w14:textId="77777777" w:rsidR="006A00EC" w:rsidRPr="006A00EC" w:rsidRDefault="00A71249">
      <w:pPr>
        <w:rPr>
          <w:b/>
        </w:rPr>
      </w:pPr>
      <w:r>
        <w:rPr>
          <w:b/>
        </w:rPr>
        <w:t xml:space="preserve">I - </w:t>
      </w:r>
      <w:r w:rsidR="006A00EC" w:rsidRPr="006A00EC">
        <w:rPr>
          <w:b/>
        </w:rPr>
        <w:t>Screening the interest of host teachers</w:t>
      </w:r>
    </w:p>
    <w:p w14:paraId="4D2EDB0D" w14:textId="77777777" w:rsidR="003E5547" w:rsidRDefault="00371C80">
      <w:r>
        <w:t xml:space="preserve">The first step in organizing the Teaching Week (TW) at partner university is to carry out a bottom-up consultation among own departments and staff about the willingness to participate in the TW, i.e. to be the host of an international teacher from Ulysseus. </w:t>
      </w:r>
      <w:r w:rsidR="003E5547">
        <w:t xml:space="preserve">The teachers in the receiving institution express their willingness to be hosts for the teachers from partner universities, stating their field of study, area of the </w:t>
      </w:r>
      <w:proofErr w:type="spellStart"/>
      <w:r w:rsidR="003E5547">
        <w:t>programme</w:t>
      </w:r>
      <w:proofErr w:type="spellEnd"/>
      <w:r w:rsidR="003E5547">
        <w:t xml:space="preserve"> they would like to be covered during the Teaching Week, and level of study. Th</w:t>
      </w:r>
      <w:r w:rsidR="00290232">
        <w:t xml:space="preserve">is </w:t>
      </w:r>
      <w:r w:rsidR="003E5547">
        <w:t xml:space="preserve">information </w:t>
      </w:r>
      <w:r w:rsidR="00290232">
        <w:t xml:space="preserve">is </w:t>
      </w:r>
      <w:r w:rsidR="003E5547">
        <w:t xml:space="preserve">compiled from all the interested receiving teachers, and </w:t>
      </w:r>
      <w:r w:rsidR="001A4A8C">
        <w:t>it</w:t>
      </w:r>
      <w:r w:rsidR="003E5547">
        <w:t xml:space="preserve"> become</w:t>
      </w:r>
      <w:r w:rsidR="001A4A8C">
        <w:t>s</w:t>
      </w:r>
      <w:r w:rsidR="003E5547">
        <w:t xml:space="preserve"> an integral part of the Open Call for application of academics to participate in the Week.</w:t>
      </w:r>
      <w:r w:rsidR="00DD5EFB">
        <w:t xml:space="preserve"> </w:t>
      </w:r>
    </w:p>
    <w:p w14:paraId="19965412" w14:textId="77777777" w:rsidR="006A00EC" w:rsidRPr="008B31EC" w:rsidRDefault="006A00EC">
      <w:pPr>
        <w:rPr>
          <w:i/>
        </w:rPr>
      </w:pPr>
      <w:r w:rsidRPr="008B31EC">
        <w:rPr>
          <w:i/>
        </w:rPr>
        <w:t>Key actor</w:t>
      </w:r>
      <w:r w:rsidR="008B31EC" w:rsidRPr="008B31EC">
        <w:rPr>
          <w:i/>
        </w:rPr>
        <w:t>s</w:t>
      </w:r>
      <w:r w:rsidRPr="008B31EC">
        <w:rPr>
          <w:i/>
        </w:rPr>
        <w:t xml:space="preserve"> in this step </w:t>
      </w:r>
      <w:r w:rsidR="008B31EC" w:rsidRPr="008B31EC">
        <w:rPr>
          <w:i/>
        </w:rPr>
        <w:t>are</w:t>
      </w:r>
      <w:r w:rsidRPr="008B31EC">
        <w:rPr>
          <w:i/>
        </w:rPr>
        <w:t xml:space="preserve"> the TW organizing team</w:t>
      </w:r>
      <w:r w:rsidR="00DD5EFB" w:rsidRPr="008B31EC">
        <w:rPr>
          <w:i/>
        </w:rPr>
        <w:t xml:space="preserve"> and university departments</w:t>
      </w:r>
      <w:r w:rsidR="008B31EC" w:rsidRPr="008B31EC">
        <w:rPr>
          <w:i/>
        </w:rPr>
        <w:t xml:space="preserve"> (vice-deans for international cooperation</w:t>
      </w:r>
      <w:r w:rsidR="001A4A8C">
        <w:rPr>
          <w:i/>
        </w:rPr>
        <w:t>)</w:t>
      </w:r>
      <w:r w:rsidR="008B31EC" w:rsidRPr="008B31EC">
        <w:rPr>
          <w:i/>
        </w:rPr>
        <w:t>.</w:t>
      </w:r>
    </w:p>
    <w:p w14:paraId="372401EB" w14:textId="77777777" w:rsidR="006A00EC" w:rsidRPr="006A00EC" w:rsidRDefault="00A71249" w:rsidP="003E5547">
      <w:pPr>
        <w:rPr>
          <w:b/>
        </w:rPr>
      </w:pPr>
      <w:r>
        <w:rPr>
          <w:b/>
        </w:rPr>
        <w:t xml:space="preserve">II - </w:t>
      </w:r>
      <w:r w:rsidR="006A00EC" w:rsidRPr="006A00EC">
        <w:rPr>
          <w:b/>
        </w:rPr>
        <w:t>Content development for the Teaching Week</w:t>
      </w:r>
    </w:p>
    <w:p w14:paraId="7B6A63DE" w14:textId="14A550B2" w:rsidR="003E5547" w:rsidRDefault="003E5547" w:rsidP="003E5547">
      <w:r>
        <w:t xml:space="preserve">The interested </w:t>
      </w:r>
      <w:r w:rsidR="00A71249">
        <w:t xml:space="preserve">incoming </w:t>
      </w:r>
      <w:r>
        <w:t xml:space="preserve">teachers from </w:t>
      </w:r>
      <w:r w:rsidR="00A71249">
        <w:t xml:space="preserve">partner </w:t>
      </w:r>
      <w:r>
        <w:t xml:space="preserve">universities </w:t>
      </w:r>
      <w:r w:rsidR="00952B1A">
        <w:t xml:space="preserve">should </w:t>
      </w:r>
      <w:r w:rsidR="00782145">
        <w:t>follow the next steps:</w:t>
      </w:r>
    </w:p>
    <w:p w14:paraId="3B863123" w14:textId="0878367D" w:rsidR="003E5547" w:rsidRDefault="003E5547" w:rsidP="00371C80">
      <w:pPr>
        <w:pStyle w:val="ListParagraph"/>
        <w:numPr>
          <w:ilvl w:val="0"/>
          <w:numId w:val="3"/>
        </w:numPr>
      </w:pPr>
      <w:r>
        <w:t>Identify the area of mobility</w:t>
      </w:r>
      <w:r w:rsidR="000C1DB8">
        <w:t xml:space="preserve"> </w:t>
      </w:r>
      <w:r w:rsidR="000C1DB8">
        <w:t>in the Open Call</w:t>
      </w:r>
      <w:r w:rsidR="000C1DB8">
        <w:t>,</w:t>
      </w:r>
      <w:r>
        <w:t xml:space="preserve"> which fits </w:t>
      </w:r>
      <w:r w:rsidR="00782145">
        <w:t>their</w:t>
      </w:r>
      <w:r>
        <w:t xml:space="preserve"> expertise </w:t>
      </w:r>
    </w:p>
    <w:p w14:paraId="31C9941F" w14:textId="1D44268E" w:rsidR="00952B1A" w:rsidRDefault="00782145" w:rsidP="00952B1A">
      <w:pPr>
        <w:pStyle w:val="ListParagraph"/>
        <w:numPr>
          <w:ilvl w:val="0"/>
          <w:numId w:val="3"/>
        </w:numPr>
      </w:pPr>
      <w:r>
        <w:t>Consult the curriculum and syllabi of the respective subjects where they will deliver their lectures and other pedagogical formats.</w:t>
      </w:r>
      <w:r w:rsidR="000C1DB8">
        <w:t xml:space="preserve"> Here, teachers can get into direct communication, if needed (c</w:t>
      </w:r>
      <w:r w:rsidR="000C1DB8">
        <w:t>ontacts can be found in the Open Call text</w:t>
      </w:r>
      <w:r w:rsidR="000C1DB8">
        <w:t>). Orientation about the curricula can be found here</w:t>
      </w:r>
      <w:r>
        <w:t xml:space="preserve"> </w:t>
      </w:r>
      <w:hyperlink r:id="rId7" w:history="1">
        <w:r w:rsidRPr="00782145">
          <w:rPr>
            <w:rStyle w:val="Hyperlink"/>
          </w:rPr>
          <w:t>https://ulysseus.eu/member-curriculum</w:t>
        </w:r>
      </w:hyperlink>
      <w:r w:rsidR="00952B1A">
        <w:rPr>
          <w:rStyle w:val="Hyperlink"/>
        </w:rPr>
        <w:t xml:space="preserve">. </w:t>
      </w:r>
      <w:r w:rsidR="00952B1A">
        <w:t>The partner teachers are advised to carefully and collaboratively design the Teaching Week Plan, to maximize the impact.</w:t>
      </w:r>
    </w:p>
    <w:p w14:paraId="49CF37F8" w14:textId="72123AF2" w:rsidR="000C1DB8" w:rsidRDefault="000C1DB8" w:rsidP="000C1DB8">
      <w:pPr>
        <w:pStyle w:val="ListParagraph"/>
        <w:numPr>
          <w:ilvl w:val="0"/>
          <w:numId w:val="3"/>
        </w:numPr>
      </w:pPr>
      <w:r>
        <w:t xml:space="preserve">Fill in the Teaching Week </w:t>
      </w:r>
      <w:r>
        <w:t xml:space="preserve">proposal </w:t>
      </w:r>
      <w:r>
        <w:t>in the application form (linked to the Open Call), thus confirming commitment to implement the mobility</w:t>
      </w:r>
      <w:r>
        <w:t>. The responses should be saved, as the</w:t>
      </w:r>
      <w:r w:rsidR="00952B1A">
        <w:t xml:space="preserve">y </w:t>
      </w:r>
      <w:r w:rsidR="0035752D">
        <w:t>need to</w:t>
      </w:r>
      <w:r>
        <w:t xml:space="preserve"> be used for filling in the Erasmus+ staff mobility application at the home university, in parallel to the Open call application.</w:t>
      </w:r>
    </w:p>
    <w:p w14:paraId="52B79D7A" w14:textId="0DA82FFD" w:rsidR="000C1DB8" w:rsidRDefault="000C1DB8" w:rsidP="00371C80">
      <w:pPr>
        <w:pStyle w:val="ListParagraph"/>
        <w:numPr>
          <w:ilvl w:val="0"/>
          <w:numId w:val="3"/>
        </w:numPr>
      </w:pPr>
      <w:r>
        <w:t>Fine-tune</w:t>
      </w:r>
      <w:r>
        <w:t xml:space="preserve"> </w:t>
      </w:r>
      <w:r w:rsidR="003E5547">
        <w:t xml:space="preserve">the </w:t>
      </w:r>
      <w:r w:rsidR="00B37D6E">
        <w:t xml:space="preserve">details, </w:t>
      </w:r>
      <w:r w:rsidR="003E5547">
        <w:t xml:space="preserve">format and content of </w:t>
      </w:r>
      <w:r w:rsidR="00782145">
        <w:t>their</w:t>
      </w:r>
      <w:r w:rsidR="003E5547">
        <w:t xml:space="preserve"> teaching mobility </w:t>
      </w:r>
      <w:r>
        <w:t xml:space="preserve">after the application has been verified by the hosting department and approved by the sending university mobility </w:t>
      </w:r>
      <w:r>
        <w:lastRenderedPageBreak/>
        <w:t>office</w:t>
      </w:r>
      <w:r w:rsidR="00782145">
        <w:t>.</w:t>
      </w:r>
      <w:r>
        <w:t xml:space="preserve"> Teachers should stay open for small modifications in the timing of their lectures, so to </w:t>
      </w:r>
      <w:r w:rsidR="00952B1A">
        <w:t xml:space="preserve">be able to participate in the joint Teaching Week activities the plan of which will be available </w:t>
      </w:r>
      <w:r w:rsidR="0035752D">
        <w:t>in due time</w:t>
      </w:r>
      <w:r w:rsidR="00952B1A">
        <w:t>.</w:t>
      </w:r>
    </w:p>
    <w:p w14:paraId="23A4F614" w14:textId="77777777" w:rsidR="008B31EC" w:rsidRPr="008B31EC" w:rsidRDefault="008B31EC" w:rsidP="008B31EC">
      <w:pPr>
        <w:rPr>
          <w:i/>
        </w:rPr>
      </w:pPr>
      <w:r w:rsidRPr="008B31EC">
        <w:rPr>
          <w:i/>
        </w:rPr>
        <w:t>Key actors in this step are the incoming and host teachers.</w:t>
      </w:r>
    </w:p>
    <w:p w14:paraId="0A811457" w14:textId="77777777" w:rsidR="00371C80" w:rsidRDefault="00371C80" w:rsidP="00371C80"/>
    <w:p w14:paraId="14F6147E" w14:textId="77777777" w:rsidR="006A00EC" w:rsidRPr="006A00EC" w:rsidRDefault="00A71249" w:rsidP="003E5547">
      <w:pPr>
        <w:rPr>
          <w:b/>
        </w:rPr>
      </w:pPr>
      <w:r>
        <w:rPr>
          <w:b/>
        </w:rPr>
        <w:t xml:space="preserve">III - </w:t>
      </w:r>
      <w:r w:rsidR="006A00EC" w:rsidRPr="006A00EC">
        <w:rPr>
          <w:b/>
        </w:rPr>
        <w:t>The case of too many applicants for incoming mobility</w:t>
      </w:r>
    </w:p>
    <w:p w14:paraId="3F7CD2CE" w14:textId="57723DB8" w:rsidR="00782145" w:rsidRDefault="00371C80" w:rsidP="0059248C">
      <w:r>
        <w:t>In case of multiple international teachers’ applications to the same host teacher, t</w:t>
      </w:r>
      <w:r w:rsidR="00DD5EFB">
        <w:t>he host teachers are advised to c</w:t>
      </w:r>
      <w:r>
        <w:t xml:space="preserve">onsider opportunities to host more than one teacher, up to a rationally maximum number of partner teachers. The teachers can be partnered so to work collaboratively, e.g. in pairs, to work on different study levels or in </w:t>
      </w:r>
      <w:r w:rsidR="006A00EC">
        <w:t xml:space="preserve">different pedagogical formats. It is up to the decision of the host </w:t>
      </w:r>
      <w:r w:rsidR="00AE16FA">
        <w:t xml:space="preserve">department </w:t>
      </w:r>
      <w:r w:rsidR="006A00EC">
        <w:t xml:space="preserve">to negotiate the maximum number of incoming teachers </w:t>
      </w:r>
      <w:r w:rsidR="00AE16FA">
        <w:t>they</w:t>
      </w:r>
      <w:r w:rsidR="006A00EC">
        <w:t xml:space="preserve"> can accommodate. In case of dilemma how to choose the incoming teacher(s), </w:t>
      </w:r>
      <w:r w:rsidR="00290232">
        <w:t xml:space="preserve">consideration of thematic fit, </w:t>
      </w:r>
      <w:r w:rsidR="000C1DB8">
        <w:t xml:space="preserve">research and pedagogical excellence, </w:t>
      </w:r>
      <w:r w:rsidR="00290232">
        <w:t xml:space="preserve">potential for future collaboration, or diversity </w:t>
      </w:r>
      <w:r w:rsidR="0059248C">
        <w:t xml:space="preserve">of institutional representation can be taken into account. In case of further uncertainty the approach </w:t>
      </w:r>
      <w:r w:rsidR="006A00EC">
        <w:t xml:space="preserve">“first come, first served” can be applied. </w:t>
      </w:r>
      <w:r w:rsidR="00A20595">
        <w:t xml:space="preserve">The host teachers communicate to the </w:t>
      </w:r>
      <w:proofErr w:type="spellStart"/>
      <w:r w:rsidR="000C1DB8">
        <w:t>UoM</w:t>
      </w:r>
      <w:proofErr w:type="spellEnd"/>
      <w:r w:rsidR="000C1DB8">
        <w:t xml:space="preserve"> </w:t>
      </w:r>
      <w:r w:rsidR="00A20595">
        <w:t xml:space="preserve">mobility officer the proposed </w:t>
      </w:r>
      <w:r w:rsidR="000C1DB8">
        <w:t xml:space="preserve">verified </w:t>
      </w:r>
      <w:r w:rsidR="00A20595">
        <w:t xml:space="preserve">incoming teachers. </w:t>
      </w:r>
    </w:p>
    <w:p w14:paraId="32B0090C" w14:textId="77777777" w:rsidR="003E5547" w:rsidRDefault="008B31EC">
      <w:pPr>
        <w:rPr>
          <w:i/>
        </w:rPr>
      </w:pPr>
      <w:r w:rsidRPr="008B31EC">
        <w:rPr>
          <w:i/>
        </w:rPr>
        <w:t>Key actor in this step is the host teacher.</w:t>
      </w:r>
    </w:p>
    <w:p w14:paraId="2657CD87" w14:textId="77777777" w:rsidR="00B37D6E" w:rsidRDefault="00B37D6E" w:rsidP="00B37D6E">
      <w:pPr>
        <w:rPr>
          <w:b/>
        </w:rPr>
      </w:pPr>
      <w:r>
        <w:rPr>
          <w:b/>
        </w:rPr>
        <w:t xml:space="preserve">IV – Approval of mobility at the sending institution </w:t>
      </w:r>
    </w:p>
    <w:p w14:paraId="1174886A" w14:textId="2DA2525D" w:rsidR="00B37D6E" w:rsidRPr="00C6511D" w:rsidRDefault="00B37D6E" w:rsidP="00B37D6E">
      <w:r>
        <w:t>The final confirmation of mobility and selection of applicants is carried out at the sending institution, based on the usual criteria and procedures for Erasmus+ mobility calls</w:t>
      </w:r>
      <w:r w:rsidR="000C1DB8">
        <w:t>.</w:t>
      </w:r>
      <w:r w:rsidR="00AC5211">
        <w:t xml:space="preserve"> </w:t>
      </w:r>
    </w:p>
    <w:p w14:paraId="3EA21237" w14:textId="77777777" w:rsidR="00AC5211" w:rsidRDefault="00AC5211" w:rsidP="00AC5211">
      <w:pPr>
        <w:rPr>
          <w:i/>
        </w:rPr>
      </w:pPr>
      <w:r w:rsidRPr="008B31EC">
        <w:rPr>
          <w:i/>
        </w:rPr>
        <w:t xml:space="preserve">Key actor in this step is the </w:t>
      </w:r>
      <w:r>
        <w:rPr>
          <w:i/>
        </w:rPr>
        <w:t>Mobility Office at the sending institution</w:t>
      </w:r>
      <w:r w:rsidRPr="008B31EC">
        <w:rPr>
          <w:i/>
        </w:rPr>
        <w:t>.</w:t>
      </w:r>
    </w:p>
    <w:p w14:paraId="6AA19B4C" w14:textId="77777777" w:rsidR="00290232" w:rsidRDefault="00290232"/>
    <w:sectPr w:rsidR="00290232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1C5B2B" w14:textId="77777777" w:rsidR="003E112A" w:rsidRDefault="003E112A" w:rsidP="000D0A8D">
      <w:pPr>
        <w:spacing w:after="0" w:line="240" w:lineRule="auto"/>
      </w:pPr>
      <w:r>
        <w:separator/>
      </w:r>
    </w:p>
  </w:endnote>
  <w:endnote w:type="continuationSeparator" w:id="0">
    <w:p w14:paraId="40459A1D" w14:textId="77777777" w:rsidR="003E112A" w:rsidRDefault="003E112A" w:rsidP="000D0A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71248" w14:textId="77777777" w:rsidR="003E112A" w:rsidRDefault="003E112A" w:rsidP="000D0A8D">
      <w:pPr>
        <w:spacing w:after="0" w:line="240" w:lineRule="auto"/>
      </w:pPr>
      <w:r>
        <w:separator/>
      </w:r>
    </w:p>
  </w:footnote>
  <w:footnote w:type="continuationSeparator" w:id="0">
    <w:p w14:paraId="270334B6" w14:textId="77777777" w:rsidR="003E112A" w:rsidRDefault="003E112A" w:rsidP="000D0A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5ACFB" w14:textId="77777777" w:rsidR="000D0A8D" w:rsidRDefault="000D0A8D" w:rsidP="000D0A8D">
    <w:pPr>
      <w:spacing w:line="264" w:lineRule="auto"/>
      <w:jc w:val="cent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87B134" wp14:editId="2BA60C68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cx="http://schemas.microsoft.com/office/drawing/2014/chartex" xmlns:w16se="http://schemas.microsoft.com/office/word/2015/wordml/symex">
          <w:pict>
            <v:rect w14:anchorId="39E1C63D" id="Rectangle 222" o:spid="_x0000_s1026" style="position:absolute;margin-left:0;margin-top:0;width:580.8pt;height:752.4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 w:rsidRPr="000D0A8D">
      <w:rPr>
        <w:noProof/>
      </w:rPr>
      <w:drawing>
        <wp:inline distT="0" distB="0" distL="0" distR="0" wp14:anchorId="1C36B6A5" wp14:editId="7A0988A4">
          <wp:extent cx="1666875" cy="1183184"/>
          <wp:effectExtent l="0" t="0" r="0" b="0"/>
          <wp:docPr id="1" name="Picture 1" descr="C:\users\user 1\Documents\EIT\Ulysseus-Logo-01-MainVersion-smal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user 1\Documents\EIT\Ulysseus-Logo-01-MainVersion-smal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1193" cy="11933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99F56C" w14:textId="77777777" w:rsidR="000D0A8D" w:rsidRDefault="000D0A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B40745"/>
    <w:multiLevelType w:val="multilevel"/>
    <w:tmpl w:val="436AA7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694FB8"/>
    <w:multiLevelType w:val="multilevel"/>
    <w:tmpl w:val="37865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07B69"/>
    <w:multiLevelType w:val="hybridMultilevel"/>
    <w:tmpl w:val="99109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4264C8"/>
    <w:multiLevelType w:val="multilevel"/>
    <w:tmpl w:val="4E1854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4D453F"/>
    <w:multiLevelType w:val="multilevel"/>
    <w:tmpl w:val="80A8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9E57DF1"/>
    <w:multiLevelType w:val="multilevel"/>
    <w:tmpl w:val="AA16BF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7F6407"/>
    <w:multiLevelType w:val="hybridMultilevel"/>
    <w:tmpl w:val="6F5219BE"/>
    <w:lvl w:ilvl="0" w:tplc="CE0049F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1E2D31"/>
    <w:multiLevelType w:val="multilevel"/>
    <w:tmpl w:val="EA58B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2A867BE"/>
    <w:multiLevelType w:val="multilevel"/>
    <w:tmpl w:val="4468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B791C65"/>
    <w:multiLevelType w:val="hybridMultilevel"/>
    <w:tmpl w:val="8834C2F6"/>
    <w:lvl w:ilvl="0" w:tplc="CE0049F4">
      <w:numFmt w:val="bullet"/>
      <w:lvlText w:val="-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7"/>
  </w:num>
  <w:num w:numId="5">
    <w:abstractNumId w:val="4"/>
  </w:num>
  <w:num w:numId="6">
    <w:abstractNumId w:val="0"/>
  </w:num>
  <w:num w:numId="7">
    <w:abstractNumId w:val="8"/>
  </w:num>
  <w:num w:numId="8">
    <w:abstractNumId w:val="1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47"/>
    <w:rsid w:val="000C1DB8"/>
    <w:rsid w:val="000D0A8D"/>
    <w:rsid w:val="001A0995"/>
    <w:rsid w:val="001A4A8C"/>
    <w:rsid w:val="00272FDB"/>
    <w:rsid w:val="00290232"/>
    <w:rsid w:val="00334259"/>
    <w:rsid w:val="0035752D"/>
    <w:rsid w:val="00371C80"/>
    <w:rsid w:val="003E112A"/>
    <w:rsid w:val="003E5547"/>
    <w:rsid w:val="00401525"/>
    <w:rsid w:val="00582859"/>
    <w:rsid w:val="0059248C"/>
    <w:rsid w:val="006A00EC"/>
    <w:rsid w:val="00782145"/>
    <w:rsid w:val="008B31EC"/>
    <w:rsid w:val="008C19BD"/>
    <w:rsid w:val="008E6743"/>
    <w:rsid w:val="00952B1A"/>
    <w:rsid w:val="00A20595"/>
    <w:rsid w:val="00A71249"/>
    <w:rsid w:val="00AC5211"/>
    <w:rsid w:val="00AE16FA"/>
    <w:rsid w:val="00B37D6E"/>
    <w:rsid w:val="00C4099B"/>
    <w:rsid w:val="00C6511D"/>
    <w:rsid w:val="00DD5EFB"/>
    <w:rsid w:val="00DF6D2E"/>
    <w:rsid w:val="00E07508"/>
    <w:rsid w:val="00EE4124"/>
    <w:rsid w:val="00FD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8B501"/>
  <w15:chartTrackingRefBased/>
  <w15:docId w15:val="{FDB5292A-7BDF-4748-B916-B75A7E24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232"/>
  </w:style>
  <w:style w:type="paragraph" w:styleId="Heading3">
    <w:name w:val="heading 3"/>
    <w:basedOn w:val="Normal"/>
    <w:link w:val="Heading3Char"/>
    <w:uiPriority w:val="9"/>
    <w:qFormat/>
    <w:rsid w:val="0029023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82145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71C80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29023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29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90232"/>
    <w:rPr>
      <w:b/>
      <w:bCs/>
    </w:rPr>
  </w:style>
  <w:style w:type="character" w:styleId="Emphasis">
    <w:name w:val="Emphasis"/>
    <w:basedOn w:val="DefaultParagraphFont"/>
    <w:uiPriority w:val="20"/>
    <w:qFormat/>
    <w:rsid w:val="0029023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0D0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0A8D"/>
  </w:style>
  <w:style w:type="paragraph" w:styleId="Footer">
    <w:name w:val="footer"/>
    <w:basedOn w:val="Normal"/>
    <w:link w:val="FooterChar"/>
    <w:uiPriority w:val="99"/>
    <w:unhideWhenUsed/>
    <w:rsid w:val="000D0A8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0A8D"/>
  </w:style>
  <w:style w:type="paragraph" w:styleId="BalloonText">
    <w:name w:val="Balloon Text"/>
    <w:basedOn w:val="Normal"/>
    <w:link w:val="BalloonTextChar"/>
    <w:uiPriority w:val="99"/>
    <w:semiHidden/>
    <w:unhideWhenUsed/>
    <w:rsid w:val="00AC5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521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F6D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6D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6D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6D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6D2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A099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6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166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8121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ulysseus.eu/member-curricul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5</cp:revision>
  <dcterms:created xsi:type="dcterms:W3CDTF">2025-11-04T09:25:00Z</dcterms:created>
  <dcterms:modified xsi:type="dcterms:W3CDTF">2025-11-05T14:44:00Z</dcterms:modified>
</cp:coreProperties>
</file>